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2783A09F" w:rsidR="00332C06" w:rsidRPr="00674783" w:rsidRDefault="00CC201B" w:rsidP="004D6766">
          <w:pPr>
            <w:pStyle w:val="Heading1"/>
            <w:spacing w:after="0"/>
          </w:pPr>
          <w:r>
            <w:t>Position Details</w:t>
          </w:r>
          <w:bookmarkEnd w:id="0"/>
        </w:p>
        <w:p w14:paraId="3A2E1A6F" w14:textId="2F437C47" w:rsidR="006246C0" w:rsidRDefault="00F43284" w:rsidP="004D6766">
          <w:pPr>
            <w:pStyle w:val="Heading2"/>
            <w:spacing w:before="0" w:after="120"/>
          </w:pPr>
          <w:r>
            <w:t>Research Projects</w:t>
          </w:r>
          <w:r w:rsidR="00CC201B">
            <w:t>- CSOF</w:t>
          </w:r>
          <w:r w:rsidR="00E84BCC">
            <w:t>3</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28339E72" w:rsidR="00CC201B" w:rsidRPr="006F5B3B" w:rsidRDefault="00852862" w:rsidP="001D3E03">
            <w:pPr>
              <w:pStyle w:val="TableText"/>
              <w:jc w:val="both"/>
              <w:cnfStyle w:val="000000100000" w:firstRow="0" w:lastRow="0" w:firstColumn="0" w:lastColumn="0" w:oddVBand="0" w:evenVBand="0" w:oddHBand="1" w:evenHBand="0" w:firstRowFirstColumn="0" w:firstRowLastColumn="0" w:lastRowFirstColumn="0" w:lastRowLastColumn="0"/>
              <w:rPr>
                <w:sz w:val="22"/>
              </w:rPr>
            </w:pPr>
            <w:r w:rsidRPr="006F5B3B">
              <w:rPr>
                <w:sz w:val="22"/>
              </w:rPr>
              <w:t>Research Projects</w:t>
            </w:r>
            <w:r w:rsidR="00486F57" w:rsidRPr="006F5B3B">
              <w:rPr>
                <w:sz w:val="22"/>
              </w:rPr>
              <w:t xml:space="preserve"> Officer</w:t>
            </w:r>
            <w:r w:rsidR="00BD601A" w:rsidRPr="006F5B3B">
              <w:rPr>
                <w:sz w:val="22"/>
              </w:rPr>
              <w:t xml:space="preserve"> – </w:t>
            </w:r>
            <w:r w:rsidR="00E300F1">
              <w:rPr>
                <w:sz w:val="22"/>
              </w:rPr>
              <w:t>ACDP Fish Diseases Laboratory</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68C0FC93" w:rsidR="00CC201B" w:rsidRPr="0093721B" w:rsidRDefault="0094448D" w:rsidP="001D3E03">
            <w:pPr>
              <w:pStyle w:val="TableBullet"/>
              <w:numPr>
                <w:ilvl w:val="0"/>
                <w:numId w:val="0"/>
              </w:numPr>
              <w:ind w:left="170" w:hanging="170"/>
              <w:jc w:val="both"/>
              <w:cnfStyle w:val="000000000000" w:firstRow="0" w:lastRow="0" w:firstColumn="0" w:lastColumn="0" w:oddVBand="0" w:evenVBand="0" w:oddHBand="0" w:evenHBand="0" w:firstRowFirstColumn="0" w:firstRowLastColumn="0" w:lastRowFirstColumn="0" w:lastRowLastColumn="0"/>
              <w:rPr>
                <w:sz w:val="22"/>
              </w:rPr>
            </w:pPr>
            <w:r>
              <w:rPr>
                <w:sz w:val="22"/>
              </w:rPr>
              <w:t>100240</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69D45AE" w:rsidR="000E571B" w:rsidRPr="0093721B" w:rsidRDefault="000E571B" w:rsidP="000E571B">
            <w:pPr>
              <w:pStyle w:val="TableText"/>
              <w:rPr>
                <w:sz w:val="22"/>
              </w:rPr>
            </w:pPr>
            <w:r w:rsidRPr="0093721B">
              <w:rPr>
                <w:sz w:val="22"/>
              </w:rPr>
              <w:t>Tenure</w:t>
            </w:r>
            <w:r w:rsidR="00360977">
              <w:rPr>
                <w:sz w:val="22"/>
              </w:rPr>
              <w:t xml:space="preserve"> &amp; Work Schedule</w:t>
            </w:r>
          </w:p>
        </w:tc>
        <w:tc>
          <w:tcPr>
            <w:tcW w:w="3551" w:type="pct"/>
          </w:tcPr>
          <w:p w14:paraId="66B1143A" w14:textId="0C0D4F23" w:rsidR="000E571B" w:rsidRPr="006F5B3B" w:rsidRDefault="000E571B" w:rsidP="001D3E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6F5B3B">
              <w:rPr>
                <w:sz w:val="22"/>
              </w:rPr>
              <w:t>Indefinite</w:t>
            </w:r>
            <w:r w:rsidR="00CA3531">
              <w:rPr>
                <w:sz w:val="22"/>
              </w:rPr>
              <w:t>,</w:t>
            </w:r>
            <w:r w:rsidRPr="006F5B3B">
              <w:rPr>
                <w:sz w:val="22"/>
              </w:rPr>
              <w:t xml:space="preserve"> 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AD980FE" w14:textId="7A006441" w:rsidR="000E571B" w:rsidRPr="006F5B3B" w:rsidRDefault="000E571B"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6F5B3B">
              <w:rPr>
                <w:sz w:val="22"/>
              </w:rPr>
              <w:t>AU$</w:t>
            </w:r>
            <w:r w:rsidR="00BD601A" w:rsidRPr="006F5B3B">
              <w:rPr>
                <w:sz w:val="22"/>
              </w:rPr>
              <w:t>7</w:t>
            </w:r>
            <w:r w:rsidR="00CA3531">
              <w:rPr>
                <w:sz w:val="22"/>
              </w:rPr>
              <w:t>3</w:t>
            </w:r>
            <w:r w:rsidR="00BD601A" w:rsidRPr="006F5B3B">
              <w:rPr>
                <w:sz w:val="22"/>
              </w:rPr>
              <w:t xml:space="preserve">k </w:t>
            </w:r>
            <w:r w:rsidR="005869D1">
              <w:rPr>
                <w:sz w:val="22"/>
              </w:rPr>
              <w:t>–</w:t>
            </w:r>
            <w:r w:rsidRPr="006F5B3B">
              <w:rPr>
                <w:sz w:val="22"/>
              </w:rPr>
              <w:t xml:space="preserve"> AU$</w:t>
            </w:r>
            <w:r w:rsidR="00BD601A" w:rsidRPr="006F5B3B">
              <w:rPr>
                <w:sz w:val="22"/>
              </w:rPr>
              <w:t>9</w:t>
            </w:r>
            <w:r w:rsidR="00CA3531">
              <w:rPr>
                <w:sz w:val="22"/>
              </w:rPr>
              <w:t>3</w:t>
            </w:r>
            <w:r w:rsidR="00BD601A" w:rsidRPr="006F5B3B">
              <w:rPr>
                <w:sz w:val="22"/>
              </w:rPr>
              <w:t xml:space="preserve">k </w:t>
            </w:r>
            <w:r w:rsidRPr="006F5B3B">
              <w:rPr>
                <w:sz w:val="22"/>
              </w:rPr>
              <w:t>per annum</w:t>
            </w:r>
            <w:r w:rsidR="00C504C2">
              <w:rPr>
                <w:sz w:val="22"/>
              </w:rPr>
              <w:t xml:space="preserve"> </w:t>
            </w:r>
            <w:r w:rsidRPr="006F5B3B">
              <w:rPr>
                <w:sz w:val="22"/>
              </w:rPr>
              <w:t>plus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7130B7BE" w:rsidR="00926BE4" w:rsidRPr="006F5B3B" w:rsidRDefault="00F4176A" w:rsidP="001D3E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6F5B3B">
              <w:rPr>
                <w:sz w:val="22"/>
              </w:rPr>
              <w:t>Geelong – Australian Centre for Disease Preparedness (ACDP), Victoria</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D3063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3ADA518A" w14:textId="77777777" w:rsidR="005869D1" w:rsidRDefault="005869D1" w:rsidP="001D3E03">
            <w:pPr>
              <w:pStyle w:val="TableBullet"/>
              <w:numPr>
                <w:ilvl w:val="0"/>
                <w:numId w:val="42"/>
              </w:numPr>
              <w:spacing w:before="0" w:after="0"/>
              <w:jc w:val="both"/>
              <w:cnfStyle w:val="000000100000" w:firstRow="0" w:lastRow="0" w:firstColumn="0" w:lastColumn="0" w:oddVBand="0" w:evenVBand="0" w:oddHBand="1" w:evenHBand="0" w:firstRowFirstColumn="0" w:firstRowLastColumn="0" w:lastRowFirstColumn="0" w:lastRowLastColumn="0"/>
              <w:rPr>
                <w:sz w:val="22"/>
              </w:rPr>
            </w:pPr>
            <w:r>
              <w:rPr>
                <w:sz w:val="22"/>
              </w:rPr>
              <w:t xml:space="preserve">Internal CSIRO Employees </w:t>
            </w:r>
          </w:p>
          <w:p w14:paraId="2C3748B6" w14:textId="3FEB243F" w:rsidR="00926BE4" w:rsidRPr="0093721B" w:rsidRDefault="00EA62ED" w:rsidP="001D3E03">
            <w:pPr>
              <w:pStyle w:val="TableBullet"/>
              <w:numPr>
                <w:ilvl w:val="0"/>
                <w:numId w:val="42"/>
              </w:numPr>
              <w:spacing w:before="0" w:after="0"/>
              <w:jc w:val="both"/>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3D7C1E2B" w:rsidR="00C45886" w:rsidRPr="001349B9" w:rsidRDefault="00F4176A"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1349B9">
              <w:rPr>
                <w:sz w:val="22"/>
              </w:rPr>
              <w:t xml:space="preserve">Aquatic </w:t>
            </w:r>
            <w:r w:rsidR="00E300F1">
              <w:rPr>
                <w:sz w:val="22"/>
              </w:rPr>
              <w:t>Diagnostic</w:t>
            </w:r>
            <w:r w:rsidR="00E300F1" w:rsidRPr="001349B9">
              <w:rPr>
                <w:sz w:val="22"/>
              </w:rPr>
              <w:t xml:space="preserve"> </w:t>
            </w:r>
            <w:r w:rsidRPr="001349B9">
              <w:rPr>
                <w:sz w:val="22"/>
              </w:rPr>
              <w:t>Capability – 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3A244609" w:rsidR="00926BE4" w:rsidRPr="001349B9" w:rsidRDefault="00B37C89" w:rsidP="001D3E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Pr>
                <w:sz w:val="22"/>
              </w:rPr>
              <w:t>8</w:t>
            </w:r>
            <w:r w:rsidR="00BD601A" w:rsidRPr="001349B9">
              <w:rPr>
                <w:sz w:val="22"/>
              </w:rPr>
              <w:t>0</w:t>
            </w:r>
            <w:r w:rsidR="00F54F83" w:rsidRPr="001349B9">
              <w:rPr>
                <w:sz w:val="22"/>
              </w:rPr>
              <w:t>%</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30457FC1" w:rsidR="00926BE4" w:rsidRPr="001349B9" w:rsidRDefault="00B37C89"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Pr>
                <w:sz w:val="22"/>
              </w:rPr>
              <w:t>2</w:t>
            </w:r>
            <w:r w:rsidR="00BD601A" w:rsidRPr="001349B9">
              <w:rPr>
                <w:sz w:val="22"/>
              </w:rPr>
              <w:t>0</w:t>
            </w:r>
            <w:r w:rsidR="00F54F83" w:rsidRPr="001349B9">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93721B" w:rsidRDefault="00F54F83" w:rsidP="001D3E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1349B9">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51704CAD" w:rsidR="00194B1C" w:rsidRPr="001349B9" w:rsidRDefault="00F54F83"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1349B9">
              <w:rPr>
                <w:sz w:val="22"/>
              </w:rPr>
              <w:t xml:space="preserve">Contact </w:t>
            </w:r>
            <w:r w:rsidR="0046112E" w:rsidRPr="00687203">
              <w:rPr>
                <w:sz w:val="22"/>
              </w:rPr>
              <w:t xml:space="preserve">Dr </w:t>
            </w:r>
            <w:r w:rsidR="00E300F1">
              <w:rPr>
                <w:sz w:val="22"/>
              </w:rPr>
              <w:t>Peter Mohr</w:t>
            </w:r>
            <w:r w:rsidR="0046112E" w:rsidRPr="00687203">
              <w:rPr>
                <w:sz w:val="22"/>
              </w:rPr>
              <w:t xml:space="preserve"> via email </w:t>
            </w:r>
            <w:hyperlink r:id="rId12" w:history="1">
              <w:r w:rsidR="00E300F1" w:rsidRPr="00542750">
                <w:rPr>
                  <w:rStyle w:val="Hyperlink"/>
                  <w:sz w:val="22"/>
                </w:rPr>
                <w:t>peter.mohr@csiro.au</w:t>
              </w:r>
            </w:hyperlink>
            <w:r w:rsidR="00E300F1">
              <w:rPr>
                <w:sz w:val="22"/>
              </w:rPr>
              <w:t xml:space="preserve"> </w:t>
            </w:r>
            <w:r w:rsidR="0046112E">
              <w:rPr>
                <w:sz w:val="22"/>
              </w:rPr>
              <w:t xml:space="preserve"> </w:t>
            </w:r>
            <w:r w:rsidR="0046112E" w:rsidRPr="00687203">
              <w:rPr>
                <w:sz w:val="22"/>
              </w:rPr>
              <w:t xml:space="preserve">or phone </w:t>
            </w:r>
            <w:r w:rsidR="00397284">
              <w:rPr>
                <w:sz w:val="22"/>
              </w:rPr>
              <w:t>+61</w:t>
            </w:r>
            <w:r w:rsidR="0046112E" w:rsidRPr="00687203">
              <w:rPr>
                <w:sz w:val="22"/>
              </w:rPr>
              <w:t>3 5227 5</w:t>
            </w:r>
            <w:r w:rsidR="00E300F1">
              <w:rPr>
                <w:sz w:val="22"/>
              </w:rPr>
              <w:t>499</w:t>
            </w:r>
          </w:p>
        </w:tc>
      </w:tr>
      <w:tr w:rsidR="001D3E03" w:rsidRPr="0093721B" w14:paraId="31077DB3" w14:textId="77777777" w:rsidTr="00D3063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shd w:val="clear" w:color="auto" w:fill="F2F2F2" w:themeFill="background1" w:themeFillShade="F2"/>
          </w:tcPr>
          <w:p w14:paraId="4D0E12E0" w14:textId="26A66E86" w:rsidR="001D3E03" w:rsidRPr="0093721B" w:rsidRDefault="001D3E03" w:rsidP="001D3E03">
            <w:pPr>
              <w:pStyle w:val="TableText"/>
              <w:rPr>
                <w:sz w:val="22"/>
              </w:rPr>
            </w:pPr>
            <w:r w:rsidRPr="001D3E03">
              <w:rPr>
                <w:sz w:val="22"/>
              </w:rPr>
              <w:t>Support and Workplace Adjustments</w:t>
            </w:r>
          </w:p>
        </w:tc>
        <w:tc>
          <w:tcPr>
            <w:tcW w:w="3551" w:type="pct"/>
            <w:shd w:val="clear" w:color="auto" w:fill="F2F2F2" w:themeFill="background1" w:themeFillShade="F2"/>
          </w:tcPr>
          <w:p w14:paraId="2FF6FAFD" w14:textId="59EAD4DC" w:rsidR="001D3E03" w:rsidRPr="001349B9" w:rsidRDefault="001D3E03" w:rsidP="001D3E03">
            <w:pPr>
              <w:pStyle w:val="TableBullet"/>
              <w:numPr>
                <w:ilvl w:val="0"/>
                <w:numId w:val="0"/>
              </w:numPr>
              <w:jc w:val="both"/>
              <w:cnfStyle w:val="000000100000" w:firstRow="0" w:lastRow="0" w:firstColumn="0" w:lastColumn="0" w:oddVBand="0" w:evenVBand="0" w:oddHBand="1" w:evenHBand="0" w:firstRowFirstColumn="0" w:firstRowLastColumn="0" w:lastRowFirstColumn="0" w:lastRowLastColumn="0"/>
              <w:rPr>
                <w:sz w:val="22"/>
              </w:rPr>
            </w:pPr>
            <w:r w:rsidRPr="001D3E03">
              <w:rPr>
                <w:rStyle w:val="eop"/>
                <w:rFonts w:eastAsiaTheme="majorEastAsia" w:cs="Calibri"/>
                <w:sz w:val="22"/>
              </w:rPr>
              <w:t>We offer a range of reasonable supports and workplace adjustments. Please let us know via email to the Talent Acquisition Consultant at shree.chattopadhyay@csiro.au or the</w:t>
            </w:r>
            <w:r w:rsidRPr="001D3E03">
              <w:rPr>
                <w:rStyle w:val="eop"/>
                <w:rFonts w:eastAsiaTheme="majorEastAsia" w:cs="Calibri"/>
                <w:i/>
                <w:iCs/>
                <w:sz w:val="22"/>
              </w:rPr>
              <w:t xml:space="preserve"> Hiring Manager mentioned above, </w:t>
            </w:r>
            <w:r w:rsidRPr="001D3E03">
              <w:rPr>
                <w:rStyle w:val="eop"/>
                <w:rFonts w:eastAsiaTheme="majorEastAsia" w:cs="Calibri"/>
                <w:sz w:val="22"/>
              </w:rPr>
              <w:t>if we can help you to equitably participate in our recruitment process or the role itself.</w:t>
            </w:r>
          </w:p>
        </w:tc>
      </w:tr>
      <w:tr w:rsidR="001D3E03" w:rsidRPr="0093721B" w14:paraId="5FBB65F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D3E03" w:rsidRPr="0093721B" w:rsidRDefault="001D3E03" w:rsidP="001D3E03">
            <w:pPr>
              <w:pStyle w:val="TableText"/>
              <w:rPr>
                <w:sz w:val="22"/>
              </w:rPr>
            </w:pPr>
            <w:r w:rsidRPr="0093721B">
              <w:rPr>
                <w:sz w:val="22"/>
              </w:rPr>
              <w:t>How to apply</w:t>
            </w:r>
          </w:p>
        </w:tc>
        <w:tc>
          <w:tcPr>
            <w:tcW w:w="3551" w:type="pct"/>
          </w:tcPr>
          <w:p w14:paraId="4354AD93" w14:textId="77777777" w:rsidR="001D3E03" w:rsidRPr="0093721B" w:rsidRDefault="001D3E03"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2293C230" w14:textId="77777777" w:rsidR="001D3E03" w:rsidRPr="0093721B" w:rsidRDefault="001D3E03"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62EB8359" w:rsidR="001D3E03" w:rsidRPr="0093721B" w:rsidRDefault="00A512F7" w:rsidP="001D3E03">
            <w:pPr>
              <w:pStyle w:val="TableBullet"/>
              <w:numPr>
                <w:ilvl w:val="0"/>
                <w:numId w:val="0"/>
              </w:numPr>
              <w:jc w:val="both"/>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 please email </w:t>
            </w:r>
            <w:hyperlink r:id="rId14" w:history="1">
              <w:r w:rsidRPr="00AA1586">
                <w:rPr>
                  <w:rStyle w:val="Hyperlink"/>
                  <w:sz w:val="22"/>
                </w:rPr>
                <w:t>careers.online@csiro.au</w:t>
              </w:r>
            </w:hyperlink>
          </w:p>
        </w:tc>
      </w:tr>
    </w:tbl>
    <w:p w14:paraId="69D28EAF" w14:textId="77777777" w:rsidR="00BB1B28" w:rsidRDefault="00BB1B28" w:rsidP="00DB03E4">
      <w:pPr>
        <w:spacing w:before="240" w:line="240" w:lineRule="auto"/>
        <w:ind w:left="720" w:hanging="720"/>
        <w:rPr>
          <w:rFonts w:cs="Calibri"/>
          <w:b/>
          <w:color w:val="auto"/>
          <w:sz w:val="26"/>
          <w:szCs w:val="26"/>
        </w:rPr>
      </w:pPr>
    </w:p>
    <w:p w14:paraId="0D046410" w14:textId="500BA555"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Pr="001E04EB" w:rsidRDefault="00DB03E4" w:rsidP="0046112E">
      <w:pPr>
        <w:widowControl w:val="0"/>
        <w:spacing w:before="240" w:after="0" w:line="240" w:lineRule="auto"/>
        <w:jc w:val="both"/>
        <w:outlineLvl w:val="2"/>
        <w:rPr>
          <w:rFonts w:cs="Calibri"/>
          <w:sz w:val="22"/>
        </w:rPr>
      </w:pPr>
      <w:r w:rsidRPr="001E04EB">
        <w:rPr>
          <w:rFonts w:cs="Calibri"/>
          <w:color w:val="auto"/>
          <w:sz w:val="22"/>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1E04EB">
          <w:rPr>
            <w:rFonts w:cs="Calibri"/>
            <w:color w:val="1155CC"/>
            <w:sz w:val="22"/>
            <w:u w:val="single"/>
          </w:rPr>
          <w:t>vision towards reconciliation</w:t>
        </w:r>
      </w:hyperlink>
      <w:r w:rsidRPr="001E04EB">
        <w:rPr>
          <w:rFonts w:cs="Calibri"/>
          <w:sz w:val="22"/>
        </w:rPr>
        <w:t>.</w:t>
      </w:r>
    </w:p>
    <w:p w14:paraId="44306C2D" w14:textId="77777777" w:rsidR="00BB1B28" w:rsidRDefault="00BB1B28" w:rsidP="00BB1B28">
      <w:pPr>
        <w:rPr>
          <w:rStyle w:val="normaltextrun"/>
          <w:rFonts w:cs="Calibri"/>
          <w:b/>
          <w:bCs/>
          <w:sz w:val="26"/>
          <w:szCs w:val="26"/>
        </w:rPr>
      </w:pPr>
    </w:p>
    <w:p w14:paraId="353E613C" w14:textId="77777777" w:rsidR="00BB1B28" w:rsidRDefault="00BB1B28" w:rsidP="00BB1B28">
      <w:pPr>
        <w:rPr>
          <w:rStyle w:val="normaltextrun"/>
          <w:rFonts w:cs="Calibri"/>
          <w:b/>
          <w:bCs/>
          <w:sz w:val="26"/>
          <w:szCs w:val="26"/>
        </w:rPr>
      </w:pPr>
    </w:p>
    <w:p w14:paraId="390659D1" w14:textId="10B2C50E" w:rsidR="00BB1B28" w:rsidRPr="00E42105" w:rsidRDefault="00BB1B28" w:rsidP="00BB1B28">
      <w:pPr>
        <w:rPr>
          <w:rFonts w:cs="Segoe UI"/>
          <w:color w:val="001D34"/>
          <w:sz w:val="18"/>
          <w:szCs w:val="18"/>
        </w:rPr>
      </w:pPr>
      <w:r w:rsidRPr="00E42105">
        <w:rPr>
          <w:rStyle w:val="normaltextrun"/>
          <w:rFonts w:cs="Calibri"/>
          <w:b/>
          <w:bCs/>
          <w:sz w:val="26"/>
          <w:szCs w:val="26"/>
        </w:rPr>
        <w:lastRenderedPageBreak/>
        <w:t>About CSIRO</w:t>
      </w:r>
      <w:r w:rsidRPr="00E42105">
        <w:rPr>
          <w:rStyle w:val="eop"/>
          <w:rFonts w:cs="Calibri"/>
          <w:sz w:val="26"/>
          <w:szCs w:val="26"/>
        </w:rPr>
        <w:t> </w:t>
      </w:r>
    </w:p>
    <w:p w14:paraId="43B0839D" w14:textId="77777777" w:rsidR="00BB1B28" w:rsidRPr="001E04EB" w:rsidRDefault="00BB1B28" w:rsidP="00BB1B28">
      <w:pPr>
        <w:pStyle w:val="paragraph"/>
        <w:spacing w:before="0" w:beforeAutospacing="0" w:after="0" w:afterAutospacing="0"/>
        <w:jc w:val="both"/>
        <w:textAlignment w:val="baseline"/>
        <w:rPr>
          <w:rFonts w:ascii="Calibri" w:hAnsi="Calibri" w:cs="Calibri"/>
          <w:sz w:val="22"/>
          <w:szCs w:val="22"/>
        </w:rPr>
      </w:pPr>
      <w:r w:rsidRPr="001E04EB">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65B5EBF5" w14:textId="77777777" w:rsidR="00BB1B28" w:rsidRPr="001E04EB" w:rsidRDefault="00BB1B28" w:rsidP="00BB1B28">
      <w:pPr>
        <w:pStyle w:val="paragraph"/>
        <w:spacing w:before="0" w:beforeAutospacing="0" w:after="0" w:afterAutospacing="0"/>
        <w:jc w:val="both"/>
        <w:textAlignment w:val="baseline"/>
        <w:rPr>
          <w:rFonts w:ascii="Calibri" w:hAnsi="Calibri" w:cs="Calibri"/>
          <w:sz w:val="22"/>
          <w:szCs w:val="22"/>
        </w:rPr>
      </w:pPr>
    </w:p>
    <w:p w14:paraId="0F2A129D" w14:textId="31975D82" w:rsidR="00BB1B28" w:rsidRPr="001E04EB" w:rsidRDefault="00BB1B28" w:rsidP="00BB1B28">
      <w:pPr>
        <w:spacing w:after="0" w:line="240" w:lineRule="auto"/>
        <w:jc w:val="both"/>
        <w:rPr>
          <w:rFonts w:cs="Calibri"/>
          <w:sz w:val="22"/>
        </w:rPr>
      </w:pPr>
      <w:r w:rsidRPr="001E04EB">
        <w:rPr>
          <w:rFonts w:cs="Calibri"/>
          <w:sz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1E04EB">
          <w:rPr>
            <w:rStyle w:val="Hyperlink"/>
            <w:rFonts w:cs="Calibri"/>
            <w:sz w:val="22"/>
          </w:rPr>
          <w:t>Indigenous Australia</w:t>
        </w:r>
      </w:hyperlink>
      <w:r w:rsidRPr="001E04EB">
        <w:rPr>
          <w:rFonts w:cs="Calibri"/>
          <w:sz w:val="22"/>
        </w:rPr>
        <w:t xml:space="preserve">, Australian science and technology can solve seemingly impossible problems and create new value for all Australians. Visit </w:t>
      </w:r>
      <w:hyperlink r:id="rId17" w:history="1">
        <w:r w:rsidRPr="001E04EB">
          <w:rPr>
            <w:rStyle w:val="Hyperlink"/>
            <w:rFonts w:cs="Calibri"/>
            <w:sz w:val="22"/>
          </w:rPr>
          <w:t>CSIRO.au</w:t>
        </w:r>
      </w:hyperlink>
      <w:r w:rsidRPr="001E04EB">
        <w:rPr>
          <w:rFonts w:cs="Calibri"/>
          <w:sz w:val="22"/>
        </w:rPr>
        <w:t xml:space="preserve"> </w:t>
      </w:r>
      <w:r w:rsidR="00F60320" w:rsidRPr="00751135">
        <w:rPr>
          <w:bCs/>
          <w:szCs w:val="24"/>
        </w:rPr>
        <w:t xml:space="preserve">and </w:t>
      </w:r>
      <w:hyperlink r:id="rId18">
        <w:r w:rsidR="00F60320" w:rsidRPr="673A0CDE">
          <w:rPr>
            <w:rStyle w:val="Hyperlink"/>
          </w:rPr>
          <w:t>Australian Centre for Disease Preparedness</w:t>
        </w:r>
      </w:hyperlink>
      <w:r w:rsidR="00F60320">
        <w:rPr>
          <w:rStyle w:val="Hyperlink"/>
        </w:rPr>
        <w:t xml:space="preserve"> </w:t>
      </w:r>
      <w:r w:rsidR="00F60320" w:rsidRPr="00751135">
        <w:rPr>
          <w:bCs/>
          <w:szCs w:val="24"/>
        </w:rPr>
        <w:t>for more information</w:t>
      </w:r>
      <w:r w:rsidRPr="001E04EB">
        <w:rPr>
          <w:rFonts w:cs="Calibri"/>
          <w:sz w:val="22"/>
        </w:rPr>
        <w:t>.</w:t>
      </w:r>
    </w:p>
    <w:p w14:paraId="4A5426DD" w14:textId="4D11A57C" w:rsidR="00D438A9" w:rsidRDefault="00D438A9" w:rsidP="00D438A9">
      <w:pPr>
        <w:jc w:val="both"/>
        <w:rPr>
          <w:rFonts w:cstheme="minorHAnsi"/>
          <w:szCs w:val="24"/>
        </w:rPr>
      </w:pPr>
    </w:p>
    <w:p w14:paraId="2B609C7D" w14:textId="79C2B776" w:rsidR="006246C0" w:rsidRPr="00674783" w:rsidRDefault="00B50C20" w:rsidP="004D6766">
      <w:pPr>
        <w:pStyle w:val="Heading3"/>
        <w:spacing w:before="240" w:after="0"/>
      </w:pPr>
      <w:r>
        <w:t>Role Overview</w:t>
      </w:r>
    </w:p>
    <w:p w14:paraId="35E699D9" w14:textId="77777777" w:rsidR="005F041C" w:rsidRPr="001E04EB" w:rsidRDefault="005F041C" w:rsidP="005F041C">
      <w:pPr>
        <w:spacing w:before="180"/>
        <w:jc w:val="both"/>
        <w:rPr>
          <w:sz w:val="22"/>
        </w:rPr>
      </w:pPr>
      <w:bookmarkStart w:id="1" w:name="_Toc341085720"/>
      <w:r w:rsidRPr="001E04EB">
        <w:rPr>
          <w:sz w:val="22"/>
        </w:rPr>
        <w:t>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6AA8EE3D" w14:textId="77777777" w:rsidR="005F041C" w:rsidRPr="001E04EB" w:rsidRDefault="005F041C" w:rsidP="005F041C">
      <w:pPr>
        <w:spacing w:before="180"/>
        <w:jc w:val="both"/>
        <w:rPr>
          <w:sz w:val="22"/>
        </w:rPr>
      </w:pPr>
      <w:r w:rsidRPr="001E04EB">
        <w:rPr>
          <w:sz w:val="22"/>
        </w:rPr>
        <w:t xml:space="preserve">The Diagnosis Surveillance and Response (DSR) Program is located at the Australian Centre for Disease Preparedness (ACDP) facility at Geelong. The DSR program provides </w:t>
      </w:r>
      <w:proofErr w:type="gramStart"/>
      <w:r w:rsidRPr="001E04EB">
        <w:rPr>
          <w:sz w:val="22"/>
        </w:rPr>
        <w:t>diagnostic</w:t>
      </w:r>
      <w:proofErr w:type="gramEnd"/>
      <w:r w:rsidRPr="001E04EB">
        <w:rPr>
          <w:sz w:val="22"/>
        </w:rPr>
        <w:t xml:space="preserve"> and research capability required to investigate and respond to new and emerging diseases affecting livestock and other animals. The Research Project Officer position forms part of the ACDP Fish Diseases Laboratory (AFDL) group within the DSR program. </w:t>
      </w:r>
    </w:p>
    <w:p w14:paraId="2A1C5BFD" w14:textId="3D6D133E" w:rsidR="00B831CB" w:rsidRPr="001E04EB" w:rsidRDefault="005F041C" w:rsidP="00EE72E8">
      <w:pPr>
        <w:spacing w:before="180"/>
        <w:jc w:val="both"/>
        <w:rPr>
          <w:sz w:val="22"/>
        </w:rPr>
      </w:pPr>
      <w:r w:rsidRPr="001E04EB">
        <w:rPr>
          <w:sz w:val="22"/>
        </w:rPr>
        <w:t xml:space="preserve">AFDL is Australia’s national reference laboratory for significant emerging and exotic (foreign) aquatic animal pathogens. As the national reference laboratory, AFDL have the primary responsibility for confirmation or exclusion of notifiable diseases when a significant emerging or exotic aquatic animal disease is suspected or detected. The group specialises in the diagnosis and research of diseases of aquatic animals (finfish, molluscs and crustaceans) with an emphasis on exotic and newly emerging diseases. The Research Project Officer reports to the Aquatic </w:t>
      </w:r>
      <w:r w:rsidR="00E300F1" w:rsidRPr="001E04EB">
        <w:rPr>
          <w:sz w:val="22"/>
        </w:rPr>
        <w:t>Diagnostic</w:t>
      </w:r>
      <w:r w:rsidRPr="001E04EB">
        <w:rPr>
          <w:sz w:val="22"/>
        </w:rPr>
        <w:t xml:space="preserve"> Capability Team Leader</w:t>
      </w:r>
      <w:r w:rsidR="00BD601A" w:rsidRPr="001E04EB">
        <w:rPr>
          <w:rFonts w:cs="Calibri"/>
          <w:bCs/>
          <w:sz w:val="22"/>
        </w:rPr>
        <w:t>.</w:t>
      </w:r>
      <w:r w:rsidR="003E5564" w:rsidRPr="001E04EB">
        <w:rPr>
          <w:i/>
          <w:iCs/>
          <w:sz w:val="22"/>
          <w:highlight w:val="green"/>
        </w:rPr>
        <w:t xml:space="preserve"> </w:t>
      </w:r>
    </w:p>
    <w:p w14:paraId="671662EA" w14:textId="76D25D18" w:rsidR="00B50C20" w:rsidRPr="00B50C20" w:rsidRDefault="00B50C20" w:rsidP="00B50C20">
      <w:pPr>
        <w:pStyle w:val="Heading3"/>
      </w:pPr>
      <w:r w:rsidRPr="00B50C20">
        <w:t>Duties and Key Result Areas</w:t>
      </w:r>
    </w:p>
    <w:p w14:paraId="7FEF5193" w14:textId="43B374FF"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 xml:space="preserve">Under the direction of the Team Leader, contribute to laboratory work, analysis, and reporting. Accept responsibility for the scheduling and completion of tasks relating to AFDL’s </w:t>
      </w:r>
      <w:r w:rsidR="00397284" w:rsidRPr="001E04EB">
        <w:rPr>
          <w:rFonts w:cs="Calibri"/>
          <w:sz w:val="22"/>
        </w:rPr>
        <w:t xml:space="preserve">diagnostic and </w:t>
      </w:r>
      <w:r w:rsidRPr="001E04EB">
        <w:rPr>
          <w:rFonts w:cs="Calibri"/>
          <w:sz w:val="22"/>
        </w:rPr>
        <w:t>research activities.</w:t>
      </w:r>
    </w:p>
    <w:p w14:paraId="1B196446"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Work in a microbiologically secure laboratory (PC2 and PC3) to undertake both in vitro and in vivo studies as part of a multi-disciplinary team.</w:t>
      </w:r>
    </w:p>
    <w:p w14:paraId="38288C40"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 xml:space="preserve">As required, work independently or collaboratively with colleagues on assigned activities and deliver in a timely manner. </w:t>
      </w:r>
    </w:p>
    <w:p w14:paraId="06993D48"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Support and deliver quality assured diagnostic testing services (NATA/ISO 17025) for a broad range of aquatic pathogens, as well as the exclusion of emergency aquatic diseases, routine surveillance and diagnostic testing.</w:t>
      </w:r>
    </w:p>
    <w:p w14:paraId="3FD0B851"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Contribute to quality assurance requirements, including reporting tests, maintaining up-to-date and accurate test records, and proficiency testing.</w:t>
      </w:r>
    </w:p>
    <w:p w14:paraId="453BC801" w14:textId="3CFDFE6E"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Assist the Team Leader and Group Leader by providing oral and written advice upon request.</w:t>
      </w:r>
    </w:p>
    <w:p w14:paraId="21749A45"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Provide general laboratory support for housekeeping and maintenance activities.</w:t>
      </w:r>
    </w:p>
    <w:p w14:paraId="114EFC9F"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Work on several parallel and competing tasks, discussing priorities with the Team Leader.</w:t>
      </w:r>
    </w:p>
    <w:p w14:paraId="1E3E120A" w14:textId="29E23DA9"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lastRenderedPageBreak/>
        <w:t>Complete assigned tasks in a timely and professional manner whilst maintaining an awareness of diagnostic testing priorities, with the flexibility to assist team workflow as required.</w:t>
      </w:r>
    </w:p>
    <w:p w14:paraId="4E46DEE7"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Work collaboratively and contribute to the effective functioning of the AFDL and other diagnostic teams in the DSR program, to meet Annual Performance Goals and other objectives.</w:t>
      </w:r>
    </w:p>
    <w:p w14:paraId="0FE21285"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Maintain confidentiality when accessing commercially sensitive information of CSIRO and/or research or commercial partners.</w:t>
      </w:r>
    </w:p>
    <w:p w14:paraId="6EED408B"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Communicate openly, effectively and respectfully with all staff, clients and suppliers in the interests of good business practice, collaboration and enhancement of CSIRO’s reputation.</w:t>
      </w:r>
    </w:p>
    <w:p w14:paraId="1ED21899" w14:textId="77777777" w:rsidR="00D3141F" w:rsidRPr="001E04EB" w:rsidRDefault="00D3141F" w:rsidP="00D3141F">
      <w:pPr>
        <w:pStyle w:val="ListParagraph"/>
        <w:numPr>
          <w:ilvl w:val="0"/>
          <w:numId w:val="29"/>
        </w:numPr>
        <w:spacing w:before="0" w:after="60" w:line="240" w:lineRule="auto"/>
        <w:jc w:val="both"/>
        <w:rPr>
          <w:rFonts w:cs="Calibri"/>
          <w:sz w:val="22"/>
        </w:rPr>
      </w:pPr>
      <w:r w:rsidRPr="001E04EB">
        <w:rPr>
          <w:rFonts w:cs="Calibri"/>
          <w:sz w:val="22"/>
        </w:rPr>
        <w:t xml:space="preserve">Adhere to the spirit and practice of CSIRO’s Code of Conduct, Health, Safety and Environment procedures and policy, Diversity initiatives and Zero Harm goals. </w:t>
      </w:r>
    </w:p>
    <w:p w14:paraId="55C6676F" w14:textId="5E0FCD74" w:rsidR="00B34DEA" w:rsidRPr="001E04EB" w:rsidRDefault="00D3141F" w:rsidP="00D3141F">
      <w:pPr>
        <w:pStyle w:val="ListParagraph"/>
        <w:numPr>
          <w:ilvl w:val="0"/>
          <w:numId w:val="29"/>
        </w:numPr>
        <w:spacing w:before="0" w:after="60" w:line="240" w:lineRule="auto"/>
        <w:contextualSpacing w:val="0"/>
        <w:jc w:val="both"/>
        <w:rPr>
          <w:sz w:val="22"/>
        </w:rPr>
      </w:pPr>
      <w:r w:rsidRPr="001E04EB">
        <w:rPr>
          <w:rFonts w:cs="Calibri"/>
          <w:sz w:val="22"/>
        </w:rPr>
        <w:t>Other duties as directed.</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25163B">
      <w:pPr>
        <w:jc w:val="both"/>
        <w:rPr>
          <w:i/>
          <w:iCs/>
          <w:szCs w:val="24"/>
        </w:rPr>
      </w:pPr>
      <w:r w:rsidRPr="00B50C20">
        <w:rPr>
          <w:i/>
          <w:iCs/>
          <w:szCs w:val="24"/>
        </w:rPr>
        <w:t>Under CSIRO policy only those who meet all essential criteria can be appointed.</w:t>
      </w:r>
    </w:p>
    <w:p w14:paraId="05F6BC38" w14:textId="6623F3D9" w:rsidR="005A7F6D" w:rsidRPr="001E04EB" w:rsidRDefault="005A7F6D" w:rsidP="0025163B">
      <w:pPr>
        <w:numPr>
          <w:ilvl w:val="0"/>
          <w:numId w:val="41"/>
        </w:numPr>
        <w:spacing w:before="0" w:after="60" w:line="240" w:lineRule="auto"/>
        <w:ind w:left="357" w:hanging="357"/>
        <w:jc w:val="both"/>
        <w:rPr>
          <w:rFonts w:asciiTheme="minorHAnsi" w:hAnsiTheme="minorHAnsi" w:cstheme="minorHAnsi"/>
          <w:sz w:val="22"/>
        </w:rPr>
      </w:pPr>
      <w:r w:rsidRPr="001E04EB">
        <w:rPr>
          <w:rFonts w:asciiTheme="minorHAnsi" w:hAnsiTheme="minorHAnsi" w:cstheme="minorHAnsi"/>
          <w:sz w:val="22"/>
        </w:rPr>
        <w:t xml:space="preserve">Relevant bachelor’s degree or equivalent work experience in a relevant field such as marine science, virology, molecular biology or similar. </w:t>
      </w:r>
    </w:p>
    <w:p w14:paraId="659F51FC" w14:textId="77777777" w:rsidR="005A7F6D" w:rsidRPr="001E04EB" w:rsidRDefault="005A7F6D" w:rsidP="0025163B">
      <w:pPr>
        <w:numPr>
          <w:ilvl w:val="0"/>
          <w:numId w:val="25"/>
        </w:numPr>
        <w:spacing w:before="0" w:after="60" w:line="240" w:lineRule="auto"/>
        <w:jc w:val="both"/>
        <w:rPr>
          <w:rFonts w:asciiTheme="minorHAnsi" w:hAnsiTheme="minorHAnsi" w:cstheme="minorHAnsi"/>
          <w:i/>
          <w:iCs/>
          <w:sz w:val="22"/>
        </w:rPr>
      </w:pPr>
      <w:r w:rsidRPr="001E04EB">
        <w:rPr>
          <w:rFonts w:asciiTheme="minorHAnsi" w:hAnsiTheme="minorHAnsi" w:cstheme="minorHAnsi"/>
          <w:sz w:val="22"/>
        </w:rPr>
        <w:t>Experience in molecular biology techniques.</w:t>
      </w:r>
    </w:p>
    <w:p w14:paraId="2C191FBE" w14:textId="77777777" w:rsidR="005A7F6D" w:rsidRPr="001E04EB" w:rsidRDefault="005A7F6D" w:rsidP="0025163B">
      <w:pPr>
        <w:numPr>
          <w:ilvl w:val="0"/>
          <w:numId w:val="25"/>
        </w:numPr>
        <w:shd w:val="clear" w:color="auto" w:fill="FFFFFF"/>
        <w:spacing w:before="0" w:after="60" w:line="240" w:lineRule="auto"/>
        <w:jc w:val="both"/>
        <w:rPr>
          <w:rFonts w:asciiTheme="minorHAnsi" w:eastAsia="Times New Roman" w:hAnsiTheme="minorHAnsi" w:cstheme="minorHAnsi"/>
          <w:color w:val="1D2021"/>
          <w:sz w:val="22"/>
        </w:rPr>
      </w:pPr>
      <w:r w:rsidRPr="001E04EB">
        <w:rPr>
          <w:rFonts w:asciiTheme="minorHAnsi" w:eastAsia="Times New Roman" w:hAnsiTheme="minorHAnsi" w:cstheme="minorHAnsi"/>
          <w:color w:val="1D2021"/>
          <w:sz w:val="22"/>
        </w:rPr>
        <w:t>Experience conducting and coordinating laboratory‐based experiments or tests, with a demonstrated ability to plan and schedule laboratory workflow.</w:t>
      </w:r>
    </w:p>
    <w:p w14:paraId="5AE384C7" w14:textId="77777777" w:rsidR="005A7F6D" w:rsidRPr="001E04EB" w:rsidRDefault="005A7F6D" w:rsidP="0025163B">
      <w:pPr>
        <w:numPr>
          <w:ilvl w:val="0"/>
          <w:numId w:val="25"/>
        </w:numPr>
        <w:spacing w:before="0" w:after="60" w:line="240" w:lineRule="auto"/>
        <w:jc w:val="both"/>
        <w:rPr>
          <w:rFonts w:asciiTheme="minorHAnsi" w:hAnsiTheme="minorHAnsi" w:cstheme="minorHAnsi"/>
          <w:sz w:val="22"/>
        </w:rPr>
      </w:pPr>
      <w:r w:rsidRPr="001E04EB">
        <w:rPr>
          <w:rFonts w:asciiTheme="minorHAnsi" w:eastAsiaTheme="minorHAnsi" w:hAnsiTheme="minorHAnsi" w:cstheme="minorHAnsi"/>
          <w:color w:val="auto"/>
          <w:sz w:val="22"/>
          <w:lang w:eastAsia="en-US"/>
          <w14:ligatures w14:val="standardContextual"/>
        </w:rPr>
        <w:t>Excellent interpersonal, written and verbal communication skills</w:t>
      </w:r>
      <w:r w:rsidRPr="001E04EB">
        <w:rPr>
          <w:rFonts w:asciiTheme="minorHAnsi" w:hAnsiTheme="minorHAnsi" w:cstheme="minorHAnsi"/>
          <w:sz w:val="22"/>
        </w:rPr>
        <w:t xml:space="preserve">. </w:t>
      </w:r>
    </w:p>
    <w:p w14:paraId="6569AE71" w14:textId="77777777" w:rsidR="005A7F6D" w:rsidRPr="001E04EB" w:rsidRDefault="005A7F6D" w:rsidP="0025163B">
      <w:pPr>
        <w:numPr>
          <w:ilvl w:val="0"/>
          <w:numId w:val="25"/>
        </w:numPr>
        <w:spacing w:before="0" w:after="60" w:line="240" w:lineRule="auto"/>
        <w:jc w:val="both"/>
        <w:rPr>
          <w:rFonts w:asciiTheme="minorHAnsi" w:hAnsiTheme="minorHAnsi" w:cstheme="minorHAnsi"/>
          <w:sz w:val="22"/>
        </w:rPr>
      </w:pPr>
      <w:r w:rsidRPr="001E04EB">
        <w:rPr>
          <w:rFonts w:asciiTheme="minorHAnsi" w:eastAsiaTheme="minorHAnsi" w:hAnsiTheme="minorHAnsi" w:cstheme="minorHAnsi"/>
          <w:color w:val="auto"/>
          <w:sz w:val="22"/>
          <w:lang w:eastAsia="en-US"/>
          <w14:ligatures w14:val="standardContextual"/>
        </w:rPr>
        <w:t>Effective time management skills and ability to work on parallel tasks.</w:t>
      </w:r>
    </w:p>
    <w:p w14:paraId="01B376D6" w14:textId="77777777" w:rsidR="00993099" w:rsidRPr="00993099" w:rsidRDefault="00993099" w:rsidP="0025163B">
      <w:pPr>
        <w:pStyle w:val="Heading2"/>
        <w:jc w:val="both"/>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43479D6B" w14:textId="77777777" w:rsidR="0025163B" w:rsidRPr="001E04EB" w:rsidRDefault="0025163B" w:rsidP="0025163B">
      <w:pPr>
        <w:numPr>
          <w:ilvl w:val="0"/>
          <w:numId w:val="26"/>
        </w:numPr>
        <w:spacing w:before="0" w:after="60" w:line="240" w:lineRule="auto"/>
        <w:jc w:val="both"/>
        <w:rPr>
          <w:rFonts w:asciiTheme="minorHAnsi" w:hAnsiTheme="minorHAnsi" w:cstheme="minorHAnsi"/>
          <w:b/>
          <w:iCs/>
          <w:sz w:val="22"/>
        </w:rPr>
      </w:pPr>
      <w:r w:rsidRPr="001E04EB">
        <w:rPr>
          <w:rFonts w:asciiTheme="minorHAnsi" w:hAnsiTheme="minorHAnsi" w:cstheme="minorHAnsi"/>
          <w:sz w:val="22"/>
        </w:rPr>
        <w:t xml:space="preserve">Experience within a </w:t>
      </w:r>
      <w:r w:rsidRPr="001E04EB">
        <w:rPr>
          <w:rFonts w:asciiTheme="minorHAnsi" w:eastAsia="Times New Roman" w:hAnsiTheme="minorHAnsi" w:cstheme="minorHAnsi"/>
          <w:color w:val="1D2021"/>
          <w:sz w:val="22"/>
        </w:rPr>
        <w:t>quality assured diagnostic testing laboratory (NATA/ISO 17025).</w:t>
      </w:r>
    </w:p>
    <w:p w14:paraId="17304C01" w14:textId="1C92CBB2" w:rsidR="00993099" w:rsidRPr="001E04EB" w:rsidRDefault="0025163B" w:rsidP="00993099">
      <w:pPr>
        <w:numPr>
          <w:ilvl w:val="0"/>
          <w:numId w:val="26"/>
        </w:numPr>
        <w:spacing w:before="0" w:after="60" w:line="240" w:lineRule="auto"/>
        <w:rPr>
          <w:rFonts w:asciiTheme="minorHAnsi" w:hAnsiTheme="minorHAnsi" w:cstheme="minorHAnsi"/>
          <w:iCs/>
          <w:sz w:val="22"/>
        </w:rPr>
      </w:pPr>
      <w:r w:rsidRPr="001E04EB">
        <w:rPr>
          <w:rFonts w:asciiTheme="minorHAnsi" w:hAnsiTheme="minorHAnsi" w:cstheme="minorHAnsi"/>
          <w:iCs/>
          <w:sz w:val="22"/>
        </w:rPr>
        <w:t xml:space="preserve">Experience within a </w:t>
      </w:r>
      <w:r w:rsidR="00397284" w:rsidRPr="001E04EB">
        <w:rPr>
          <w:rFonts w:asciiTheme="minorHAnsi" w:hAnsiTheme="minorHAnsi" w:cstheme="minorHAnsi"/>
          <w:iCs/>
          <w:sz w:val="22"/>
        </w:rPr>
        <w:t xml:space="preserve">diagnostic or </w:t>
      </w:r>
      <w:r w:rsidRPr="001E04EB">
        <w:rPr>
          <w:rFonts w:asciiTheme="minorHAnsi" w:hAnsiTheme="minorHAnsi" w:cstheme="minorHAnsi"/>
          <w:iCs/>
          <w:sz w:val="22"/>
        </w:rPr>
        <w:t xml:space="preserve">research laboratory. </w:t>
      </w:r>
    </w:p>
    <w:p w14:paraId="7D14E96D" w14:textId="77777777" w:rsidR="001D3CFF" w:rsidRDefault="001D3CFF" w:rsidP="001D3CFF">
      <w:pPr>
        <w:spacing w:before="0" w:after="60" w:line="240" w:lineRule="auto"/>
        <w:rPr>
          <w:rFonts w:asciiTheme="minorHAnsi" w:hAnsiTheme="minorHAnsi" w:cstheme="minorHAnsi"/>
          <w:iCs/>
          <w:szCs w:val="24"/>
        </w:rPr>
      </w:pPr>
    </w:p>
    <w:p w14:paraId="516BCF54" w14:textId="7A18250F" w:rsidR="00084BBC" w:rsidRPr="001E04EB" w:rsidRDefault="00084BBC" w:rsidP="00084BBC">
      <w:pPr>
        <w:pStyle w:val="paragraph"/>
        <w:spacing w:before="0" w:beforeAutospacing="0" w:after="0" w:afterAutospacing="0"/>
        <w:jc w:val="both"/>
        <w:textAlignment w:val="baseline"/>
        <w:rPr>
          <w:rStyle w:val="eop"/>
          <w:rFonts w:asciiTheme="majorHAnsi" w:eastAsia="Calibri" w:hAnsiTheme="majorHAnsi" w:cstheme="majorHAnsi"/>
          <w:b/>
          <w:bCs/>
          <w:sz w:val="26"/>
          <w:szCs w:val="26"/>
        </w:rPr>
      </w:pPr>
      <w:r w:rsidRPr="00084BBC">
        <w:rPr>
          <w:rFonts w:asciiTheme="majorHAnsi" w:eastAsia="Calibri" w:hAnsiTheme="majorHAnsi" w:cstheme="majorHAnsi"/>
          <w:b/>
          <w:bCs/>
          <w:sz w:val="26"/>
          <w:szCs w:val="26"/>
        </w:rPr>
        <w:t>Not sure if you meet all the criteria?</w:t>
      </w:r>
    </w:p>
    <w:p w14:paraId="2FFDB8C9" w14:textId="77777777" w:rsidR="00084BBC" w:rsidRDefault="00084BBC" w:rsidP="00084BBC">
      <w:pPr>
        <w:pStyle w:val="paragraph"/>
        <w:spacing w:before="120" w:beforeAutospacing="0" w:after="120" w:afterAutospacing="0"/>
        <w:jc w:val="both"/>
        <w:textAlignment w:val="baseline"/>
        <w:rPr>
          <w:rStyle w:val="eop"/>
          <w:rFonts w:ascii="Calibri" w:eastAsiaTheme="majorEastAsia" w:hAnsi="Calibri" w:cs="Calibri"/>
          <w:sz w:val="22"/>
          <w:szCs w:val="22"/>
        </w:rPr>
      </w:pPr>
      <w:r w:rsidRPr="00084BBC">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105F1">
          <w:pPr>
            <w:pStyle w:val="Heading2"/>
            <w:jc w:val="both"/>
            <w:rPr>
              <w:b/>
              <w:iCs w:val="0"/>
              <w:color w:val="auto"/>
              <w:sz w:val="26"/>
              <w:szCs w:val="26"/>
            </w:rPr>
          </w:pPr>
          <w:r w:rsidRPr="00B50C20">
            <w:rPr>
              <w:b/>
              <w:iCs w:val="0"/>
              <w:color w:val="auto"/>
              <w:sz w:val="26"/>
              <w:szCs w:val="26"/>
            </w:rPr>
            <w:t>Required Competencies</w:t>
          </w:r>
        </w:p>
        <w:p w14:paraId="4A3A0E44" w14:textId="77777777" w:rsidR="002457DF" w:rsidRPr="001E04EB" w:rsidRDefault="00B50C20" w:rsidP="004105F1">
          <w:pPr>
            <w:pStyle w:val="ListParagraph"/>
            <w:numPr>
              <w:ilvl w:val="0"/>
              <w:numId w:val="27"/>
            </w:numPr>
            <w:spacing w:before="0" w:after="60" w:line="240" w:lineRule="auto"/>
            <w:contextualSpacing w:val="0"/>
            <w:jc w:val="both"/>
            <w:rPr>
              <w:sz w:val="22"/>
            </w:rPr>
          </w:pPr>
          <w:r w:rsidRPr="001E04EB">
            <w:rPr>
              <w:b/>
              <w:sz w:val="22"/>
            </w:rPr>
            <w:t xml:space="preserve">Teamwork and Collaboration: </w:t>
          </w:r>
          <w:r w:rsidR="002457DF" w:rsidRPr="001E04EB">
            <w:rPr>
              <w:sz w:val="22"/>
            </w:rPr>
            <w:t>Proactively seeks and considers the ideas and opinions of others from within and outside the team to help form decisions, plans or actions.</w:t>
          </w:r>
        </w:p>
        <w:p w14:paraId="19077AA7" w14:textId="77777777" w:rsidR="007C2D48" w:rsidRPr="001E04EB" w:rsidRDefault="00B50C20" w:rsidP="004105F1">
          <w:pPr>
            <w:pStyle w:val="ListParagraph"/>
            <w:numPr>
              <w:ilvl w:val="0"/>
              <w:numId w:val="27"/>
            </w:numPr>
            <w:spacing w:before="0" w:after="60" w:line="240" w:lineRule="auto"/>
            <w:contextualSpacing w:val="0"/>
            <w:jc w:val="both"/>
            <w:rPr>
              <w:sz w:val="22"/>
            </w:rPr>
          </w:pPr>
          <w:r w:rsidRPr="001E04EB">
            <w:rPr>
              <w:b/>
              <w:sz w:val="22"/>
            </w:rPr>
            <w:t>Influence and Communication:</w:t>
          </w:r>
          <w:r w:rsidRPr="001E04EB">
            <w:rPr>
              <w:sz w:val="22"/>
            </w:rPr>
            <w:t xml:space="preserve">  </w:t>
          </w:r>
          <w:r w:rsidR="007C2D48" w:rsidRPr="001E04EB">
            <w:rPr>
              <w:sz w:val="22"/>
            </w:rPr>
            <w:t xml:space="preserve">Puts forward ideas by presenting </w:t>
          </w:r>
          <w:proofErr w:type="gramStart"/>
          <w:r w:rsidR="007C2D48" w:rsidRPr="001E04EB">
            <w:rPr>
              <w:sz w:val="22"/>
            </w:rPr>
            <w:t>factual information</w:t>
          </w:r>
          <w:proofErr w:type="gramEnd"/>
          <w:r w:rsidR="007C2D48" w:rsidRPr="001E04EB">
            <w:rPr>
              <w:sz w:val="22"/>
            </w:rPr>
            <w:t xml:space="preserve"> supported by data, definitions, examples, illustrations or other aids, which will assist in conveying meaning.</w:t>
          </w:r>
        </w:p>
        <w:p w14:paraId="29BC41D1" w14:textId="77777777" w:rsidR="00B64E5C" w:rsidRPr="001E04EB" w:rsidRDefault="00B50C20" w:rsidP="004105F1">
          <w:pPr>
            <w:pStyle w:val="ListParagraph"/>
            <w:numPr>
              <w:ilvl w:val="0"/>
              <w:numId w:val="27"/>
            </w:numPr>
            <w:spacing w:before="0" w:after="60" w:line="240" w:lineRule="auto"/>
            <w:contextualSpacing w:val="0"/>
            <w:jc w:val="both"/>
            <w:rPr>
              <w:sz w:val="22"/>
            </w:rPr>
          </w:pPr>
          <w:r w:rsidRPr="001E04EB">
            <w:rPr>
              <w:b/>
              <w:sz w:val="22"/>
            </w:rPr>
            <w:t>Resource Management/Leadership:</w:t>
          </w:r>
          <w:r w:rsidRPr="001E04EB">
            <w:rPr>
              <w:sz w:val="22"/>
            </w:rPr>
            <w:t xml:space="preserve">  </w:t>
          </w:r>
          <w:r w:rsidR="00B64E5C" w:rsidRPr="001E04EB">
            <w:rPr>
              <w:sz w:val="22"/>
            </w:rPr>
            <w:t>Provides instruction and assists other staff to complete allocated tasks and activities.</w:t>
          </w:r>
        </w:p>
        <w:p w14:paraId="31735AF4" w14:textId="77777777" w:rsidR="003E1FC5" w:rsidRPr="001E04EB" w:rsidRDefault="00B50C20" w:rsidP="004105F1">
          <w:pPr>
            <w:pStyle w:val="ListParagraph"/>
            <w:numPr>
              <w:ilvl w:val="0"/>
              <w:numId w:val="27"/>
            </w:numPr>
            <w:spacing w:before="0" w:after="60" w:line="240" w:lineRule="auto"/>
            <w:contextualSpacing w:val="0"/>
            <w:jc w:val="both"/>
            <w:rPr>
              <w:sz w:val="22"/>
            </w:rPr>
          </w:pPr>
          <w:r w:rsidRPr="001E04EB">
            <w:rPr>
              <w:b/>
              <w:sz w:val="22"/>
            </w:rPr>
            <w:t>Judgement and Problem Solving:</w:t>
          </w:r>
          <w:r w:rsidRPr="001E04EB">
            <w:rPr>
              <w:sz w:val="22"/>
            </w:rPr>
            <w:t xml:space="preserve">  </w:t>
          </w:r>
          <w:r w:rsidR="003E1FC5" w:rsidRPr="001E04EB">
            <w:rPr>
              <w:sz w:val="22"/>
            </w:rPr>
            <w:t xml:space="preserve">Identifies and considers the implications of a range of available alternatives </w:t>
          </w:r>
          <w:proofErr w:type="gramStart"/>
          <w:r w:rsidR="003E1FC5" w:rsidRPr="001E04EB">
            <w:rPr>
              <w:sz w:val="22"/>
            </w:rPr>
            <w:t>in order to</w:t>
          </w:r>
          <w:proofErr w:type="gramEnd"/>
          <w:r w:rsidR="003E1FC5" w:rsidRPr="001E04EB">
            <w:rPr>
              <w:sz w:val="22"/>
            </w:rPr>
            <w:t xml:space="preserve"> select the most appropriate response to problems of a familiar or recurring nature.</w:t>
          </w:r>
        </w:p>
        <w:p w14:paraId="39C1C3B4" w14:textId="77777777" w:rsidR="002D1E47" w:rsidRPr="001E04EB" w:rsidRDefault="00B50C20" w:rsidP="004105F1">
          <w:pPr>
            <w:pStyle w:val="ListParagraph"/>
            <w:numPr>
              <w:ilvl w:val="0"/>
              <w:numId w:val="27"/>
            </w:numPr>
            <w:spacing w:before="0" w:after="60" w:line="240" w:lineRule="auto"/>
            <w:contextualSpacing w:val="0"/>
            <w:jc w:val="both"/>
            <w:rPr>
              <w:bCs/>
              <w:iCs/>
              <w:sz w:val="22"/>
            </w:rPr>
          </w:pPr>
          <w:r w:rsidRPr="001E04EB">
            <w:rPr>
              <w:b/>
              <w:sz w:val="22"/>
            </w:rPr>
            <w:t xml:space="preserve">Independence: </w:t>
          </w:r>
          <w:r w:rsidR="002D1E47" w:rsidRPr="001E04EB">
            <w:rPr>
              <w:sz w:val="22"/>
            </w:rPr>
            <w:t>Recognise and makes immediate changes to improve performance (faster, better, lower cost, more efficiently, better quality, improved client satisfaction).</w:t>
          </w:r>
        </w:p>
        <w:p w14:paraId="40EB6EBD" w14:textId="7F07285E" w:rsidR="00B50C20" w:rsidRPr="001E04EB" w:rsidRDefault="00B50C20" w:rsidP="004105F1">
          <w:pPr>
            <w:pStyle w:val="ListParagraph"/>
            <w:numPr>
              <w:ilvl w:val="0"/>
              <w:numId w:val="27"/>
            </w:numPr>
            <w:spacing w:before="0" w:after="60" w:line="240" w:lineRule="auto"/>
            <w:contextualSpacing w:val="0"/>
            <w:jc w:val="both"/>
            <w:rPr>
              <w:bCs/>
              <w:iCs/>
              <w:sz w:val="22"/>
            </w:rPr>
          </w:pPr>
          <w:r w:rsidRPr="001E04EB">
            <w:rPr>
              <w:b/>
              <w:sz w:val="22"/>
            </w:rPr>
            <w:lastRenderedPageBreak/>
            <w:t>Adaptability:</w:t>
          </w:r>
          <w:r w:rsidRPr="001E04EB">
            <w:rPr>
              <w:b/>
              <w:bCs/>
              <w:i/>
              <w:iCs/>
              <w:sz w:val="22"/>
            </w:rPr>
            <w:t xml:space="preserve"> </w:t>
          </w:r>
          <w:r w:rsidR="00243270" w:rsidRPr="001E04EB">
            <w:rPr>
              <w:bCs/>
              <w:iCs/>
              <w:sz w:val="22"/>
            </w:rPr>
            <w:t>Willingness to change ideas or perceptions based on new information, contrary evidence or other people's points of view. Prepared to try out different approaches.</w:t>
          </w:r>
        </w:p>
        <w:p w14:paraId="14FABC7F" w14:textId="77777777" w:rsidR="00232B60" w:rsidRDefault="00232B60" w:rsidP="004105F1">
          <w:pPr>
            <w:spacing w:before="0" w:after="60" w:line="240" w:lineRule="auto"/>
            <w:jc w:val="both"/>
          </w:pPr>
        </w:p>
        <w:p w14:paraId="6D84785F" w14:textId="77777777" w:rsidR="001E04EB" w:rsidRPr="001E04EB" w:rsidRDefault="001E04EB" w:rsidP="004105F1">
          <w:pPr>
            <w:spacing w:before="240" w:after="0" w:line="240" w:lineRule="auto"/>
            <w:jc w:val="both"/>
            <w:rPr>
              <w:rFonts w:cs="Calibri"/>
              <w:b/>
              <w:bCs/>
              <w:sz w:val="26"/>
              <w:szCs w:val="26"/>
            </w:rPr>
          </w:pPr>
          <w:r w:rsidRPr="001E04EB">
            <w:rPr>
              <w:rFonts w:cs="Calibri"/>
              <w:b/>
              <w:bCs/>
              <w:sz w:val="26"/>
              <w:szCs w:val="26"/>
            </w:rPr>
            <w:t xml:space="preserve">Setting You Up </w:t>
          </w:r>
          <w:proofErr w:type="gramStart"/>
          <w:r w:rsidRPr="001E04EB">
            <w:rPr>
              <w:rFonts w:cs="Calibri"/>
              <w:b/>
              <w:bCs/>
              <w:sz w:val="26"/>
              <w:szCs w:val="26"/>
            </w:rPr>
            <w:t>For</w:t>
          </w:r>
          <w:proofErr w:type="gramEnd"/>
          <w:r w:rsidRPr="001E04EB">
            <w:rPr>
              <w:rFonts w:cs="Calibri"/>
              <w:b/>
              <w:bCs/>
              <w:sz w:val="26"/>
              <w:szCs w:val="26"/>
            </w:rPr>
            <w:t xml:space="preserve"> Success </w:t>
          </w:r>
        </w:p>
        <w:p w14:paraId="4EC07720" w14:textId="77777777" w:rsidR="001E04EB" w:rsidRPr="001E04EB" w:rsidRDefault="001E04EB" w:rsidP="004105F1">
          <w:pPr>
            <w:spacing w:after="0" w:line="240" w:lineRule="auto"/>
            <w:jc w:val="both"/>
            <w:rPr>
              <w:rStyle w:val="eop"/>
              <w:rFonts w:eastAsiaTheme="majorEastAsia" w:cs="Calibri"/>
              <w:sz w:val="22"/>
            </w:rPr>
          </w:pPr>
          <w:r w:rsidRPr="001E04EB">
            <w:rPr>
              <w:rStyle w:val="eop"/>
              <w:rFonts w:eastAsiaTheme="majorEastAsia" w:cs="Calibri"/>
              <w:sz w:val="22"/>
            </w:rPr>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to the Talent Acquisition Partner, if we can help you to equitably participate in our recruitment process or the role itself.</w:t>
          </w:r>
        </w:p>
        <w:p w14:paraId="48A6D2E7" w14:textId="77777777" w:rsidR="001E04EB" w:rsidRDefault="001E04EB" w:rsidP="004105F1">
          <w:pPr>
            <w:jc w:val="both"/>
            <w:rPr>
              <w:b/>
              <w:bCs/>
              <w:sz w:val="26"/>
              <w:szCs w:val="26"/>
            </w:rPr>
          </w:pPr>
        </w:p>
        <w:p w14:paraId="42F5BE4F" w14:textId="77777777" w:rsidR="001E04EB" w:rsidRPr="00B8125E" w:rsidRDefault="001E04EB" w:rsidP="004105F1">
          <w:pPr>
            <w:jc w:val="both"/>
            <w:rPr>
              <w:b/>
              <w:bCs/>
              <w:sz w:val="26"/>
              <w:szCs w:val="26"/>
            </w:rPr>
          </w:pPr>
          <w:r>
            <w:rPr>
              <w:b/>
              <w:bCs/>
              <w:sz w:val="26"/>
              <w:szCs w:val="26"/>
            </w:rPr>
            <w:t>Life at CSIRO and Flexible Working Arrangements</w:t>
          </w:r>
        </w:p>
        <w:p w14:paraId="6892C718" w14:textId="77777777" w:rsidR="001E04EB" w:rsidRPr="001E04EB" w:rsidRDefault="001E04EB" w:rsidP="004105F1">
          <w:pPr>
            <w:pStyle w:val="Default"/>
            <w:jc w:val="both"/>
            <w:rPr>
              <w:rFonts w:asciiTheme="majorHAnsi" w:hAnsiTheme="majorHAnsi" w:cstheme="majorHAnsi"/>
              <w:sz w:val="22"/>
              <w:szCs w:val="22"/>
            </w:rPr>
          </w:pPr>
          <w:r w:rsidRPr="001E04EB">
            <w:rPr>
              <w:rFonts w:asciiTheme="majorHAnsi" w:hAnsiTheme="majorHAnsi" w:cstheme="majorHAnsi"/>
              <w:sz w:val="22"/>
              <w:szCs w:val="22"/>
            </w:rPr>
            <w:t>W</w:t>
          </w:r>
          <w:r w:rsidRPr="001E04EB">
            <w:rPr>
              <w:rStyle w:val="normaltextrun"/>
              <w:rFonts w:asciiTheme="majorHAnsi" w:eastAsiaTheme="majorEastAsia" w:hAnsiTheme="majorHAnsi" w:cstheme="majorHAnsi"/>
              <w:sz w:val="22"/>
              <w:szCs w:val="22"/>
            </w:rPr>
            <w:t xml:space="preserve">e </w:t>
          </w:r>
          <w:hyperlink r:id="rId19">
            <w:r w:rsidRPr="001E04EB">
              <w:rPr>
                <w:rStyle w:val="Hyperlink"/>
                <w:rFonts w:asciiTheme="majorHAnsi" w:eastAsiaTheme="majorEastAsia" w:hAnsiTheme="majorHAnsi" w:cstheme="majorHAnsi"/>
                <w:sz w:val="22"/>
                <w:szCs w:val="22"/>
              </w:rPr>
              <w:t>work flexibly at CSIRO</w:t>
            </w:r>
          </w:hyperlink>
          <w:r w:rsidRPr="001E04EB">
            <w:rPr>
              <w:rStyle w:val="normaltextrun"/>
              <w:rFonts w:asciiTheme="majorHAnsi" w:eastAsiaTheme="majorEastAsia" w:hAnsiTheme="majorHAnsi" w:cstheme="majorHAnsi"/>
              <w:sz w:val="22"/>
              <w:szCs w:val="22"/>
            </w:rPr>
            <w:t>, offering a range of options for how, when and where you work.  We can discuss flexible work arrangements with you during the recruitment process.</w:t>
          </w:r>
          <w:r w:rsidRPr="001E04EB">
            <w:rPr>
              <w:rFonts w:asciiTheme="majorHAnsi" w:hAnsiTheme="majorHAnsi" w:cstheme="majorHAnsi"/>
              <w:sz w:val="22"/>
              <w:szCs w:val="22"/>
            </w:rPr>
            <w:t xml:space="preserve"> CSIRO also offers a range of leave entitlements, </w:t>
          </w:r>
          <w:hyperlink r:id="rId20">
            <w:r w:rsidRPr="001E04EB">
              <w:rPr>
                <w:rStyle w:val="Hyperlink"/>
                <w:rFonts w:asciiTheme="majorHAnsi" w:hAnsiTheme="majorHAnsi" w:cstheme="majorHAnsi"/>
                <w:sz w:val="22"/>
                <w:szCs w:val="22"/>
              </w:rPr>
              <w:t>benefits</w:t>
            </w:r>
          </w:hyperlink>
          <w:r w:rsidRPr="001E04EB">
            <w:rPr>
              <w:rFonts w:asciiTheme="majorHAnsi" w:hAnsiTheme="majorHAnsi" w:cstheme="majorHAnsi"/>
              <w:sz w:val="22"/>
              <w:szCs w:val="22"/>
            </w:rPr>
            <w:t xml:space="preserve"> and </w:t>
          </w:r>
          <w:hyperlink r:id="rId21">
            <w:r w:rsidRPr="001E04EB">
              <w:rPr>
                <w:rStyle w:val="Hyperlink"/>
                <w:rFonts w:asciiTheme="majorHAnsi" w:hAnsiTheme="majorHAnsi" w:cstheme="majorHAnsi"/>
                <w:sz w:val="22"/>
                <w:szCs w:val="22"/>
              </w:rPr>
              <w:t>career development</w:t>
            </w:r>
          </w:hyperlink>
          <w:r w:rsidRPr="001E04EB">
            <w:rPr>
              <w:rFonts w:asciiTheme="majorHAnsi" w:hAnsiTheme="majorHAnsi" w:cstheme="majorHAnsi"/>
              <w:sz w:val="22"/>
              <w:szCs w:val="22"/>
            </w:rPr>
            <w:t xml:space="preserve"> opportunities. To learn more, visit </w:t>
          </w:r>
          <w:hyperlink r:id="rId22">
            <w:r w:rsidRPr="001E04EB">
              <w:rPr>
                <w:rStyle w:val="Hyperlink"/>
                <w:rFonts w:asciiTheme="majorHAnsi" w:hAnsiTheme="majorHAnsi" w:cstheme="majorHAnsi"/>
                <w:sz w:val="22"/>
                <w:szCs w:val="22"/>
              </w:rPr>
              <w:t>Careers at CSIRO</w:t>
            </w:r>
          </w:hyperlink>
          <w:r w:rsidRPr="001E04EB">
            <w:rPr>
              <w:rFonts w:asciiTheme="majorHAnsi" w:hAnsiTheme="majorHAnsi" w:cstheme="majorHAnsi"/>
              <w:sz w:val="22"/>
              <w:szCs w:val="22"/>
            </w:rPr>
            <w:t>.</w:t>
          </w:r>
        </w:p>
        <w:p w14:paraId="61ECE139" w14:textId="77777777" w:rsidR="001E04EB" w:rsidRPr="001E04EB" w:rsidRDefault="001E04EB" w:rsidP="004105F1">
          <w:pPr>
            <w:pStyle w:val="Default"/>
            <w:jc w:val="both"/>
            <w:rPr>
              <w:rFonts w:asciiTheme="majorHAnsi" w:hAnsiTheme="majorHAnsi" w:cstheme="majorHAnsi"/>
              <w:sz w:val="22"/>
              <w:szCs w:val="22"/>
            </w:rPr>
          </w:pPr>
        </w:p>
        <w:p w14:paraId="57892B10" w14:textId="77777777" w:rsidR="001E04EB" w:rsidRPr="001E04EB" w:rsidRDefault="001E04EB" w:rsidP="004105F1">
          <w:pPr>
            <w:pStyle w:val="paragraph"/>
            <w:spacing w:before="0" w:beforeAutospacing="0" w:after="0" w:afterAutospacing="0"/>
            <w:jc w:val="both"/>
            <w:textAlignment w:val="baseline"/>
            <w:rPr>
              <w:rStyle w:val="eop"/>
              <w:rFonts w:asciiTheme="majorHAnsi" w:eastAsiaTheme="majorEastAsia" w:hAnsiTheme="majorHAnsi" w:cstheme="majorHAnsi"/>
              <w:sz w:val="22"/>
              <w:szCs w:val="22"/>
            </w:rPr>
          </w:pPr>
          <w:r w:rsidRPr="001E04EB">
            <w:rPr>
              <w:rFonts w:asciiTheme="majorHAnsi" w:hAnsiTheme="majorHAnsi" w:cstheme="majorHAnsi"/>
              <w:sz w:val="22"/>
              <w:szCs w:val="22"/>
            </w:rPr>
            <w:t xml:space="preserve">We celebrate the uniqueness of our workforce and are committed to creating </w:t>
          </w:r>
          <w:hyperlink r:id="rId23">
            <w:r w:rsidRPr="001E04EB">
              <w:rPr>
                <w:rStyle w:val="Hyperlink"/>
                <w:rFonts w:asciiTheme="majorHAnsi" w:hAnsiTheme="majorHAnsi" w:cstheme="majorHAnsi"/>
                <w:sz w:val="22"/>
                <w:szCs w:val="22"/>
              </w:rPr>
              <w:t>diverse and inclusive teams</w:t>
            </w:r>
          </w:hyperlink>
          <w:r w:rsidRPr="001E04EB">
            <w:rPr>
              <w:rFonts w:asciiTheme="majorHAnsi" w:hAnsiTheme="majorHAnsi" w:cstheme="majorHAnsi"/>
              <w:sz w:val="22"/>
              <w:szCs w:val="22"/>
            </w:rPr>
            <w:t xml:space="preserve"> where everyone feels they belong. </w:t>
          </w:r>
          <w:r w:rsidRPr="001E04EB">
            <w:rPr>
              <w:rStyle w:val="eop"/>
              <w:rFonts w:asciiTheme="majorHAnsi" w:eastAsiaTheme="majorEastAsia" w:hAnsiTheme="majorHAnsi" w:cstheme="majorHAnsi"/>
              <w:sz w:val="22"/>
              <w:szCs w:val="22"/>
            </w:rPr>
            <w:t xml:space="preserve">CSIRO is an equal employment opportunity organisation dedicated to recruiting people based on </w:t>
          </w:r>
          <w:proofErr w:type="gramStart"/>
          <w:r w:rsidRPr="001E04EB">
            <w:rPr>
              <w:rStyle w:val="eop"/>
              <w:rFonts w:asciiTheme="majorHAnsi" w:eastAsiaTheme="majorEastAsia" w:hAnsiTheme="majorHAnsi" w:cstheme="majorHAnsi"/>
              <w:sz w:val="22"/>
              <w:szCs w:val="22"/>
            </w:rPr>
            <w:t>merit, and</w:t>
          </w:r>
          <w:proofErr w:type="gramEnd"/>
          <w:r w:rsidRPr="001E04EB">
            <w:rPr>
              <w:rStyle w:val="eop"/>
              <w:rFonts w:asciiTheme="majorHAnsi" w:eastAsiaTheme="majorEastAsia" w:hAnsiTheme="majorHAnsi" w:cstheme="majorHAnsi"/>
              <w:sz w:val="22"/>
              <w:szCs w:val="22"/>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6AAA649" w14:textId="77777777" w:rsidR="00232B60" w:rsidRDefault="00232B60" w:rsidP="004105F1">
          <w:pPr>
            <w:spacing w:before="0" w:after="60" w:line="240" w:lineRule="auto"/>
            <w:jc w:val="both"/>
          </w:pPr>
        </w:p>
        <w:p w14:paraId="56BF4571" w14:textId="77777777" w:rsidR="000E00A6" w:rsidRDefault="000E00A6" w:rsidP="004105F1">
          <w:pPr>
            <w:spacing w:before="240" w:after="0" w:line="240" w:lineRule="auto"/>
            <w:jc w:val="both"/>
            <w:rPr>
              <w:rFonts w:cs="Calibri"/>
              <w:b/>
              <w:bCs/>
              <w:sz w:val="26"/>
              <w:szCs w:val="26"/>
            </w:rPr>
          </w:pPr>
          <w:r w:rsidRPr="007C0968">
            <w:rPr>
              <w:rFonts w:cs="Calibri"/>
              <w:b/>
              <w:bCs/>
              <w:sz w:val="26"/>
              <w:szCs w:val="26"/>
            </w:rPr>
            <w:t>CSIRO</w:t>
          </w:r>
          <w:r>
            <w:rPr>
              <w:rFonts w:cs="Calibri"/>
              <w:b/>
              <w:bCs/>
              <w:sz w:val="26"/>
              <w:szCs w:val="26"/>
            </w:rPr>
            <w:t xml:space="preserve"> Values</w:t>
          </w:r>
        </w:p>
        <w:p w14:paraId="02D7EBBA" w14:textId="77777777" w:rsidR="000E00A6" w:rsidRPr="000E00A6" w:rsidRDefault="000E00A6" w:rsidP="004105F1">
          <w:pPr>
            <w:spacing w:before="240" w:after="0" w:line="240" w:lineRule="auto"/>
            <w:jc w:val="both"/>
            <w:rPr>
              <w:rFonts w:cs="Calibri"/>
              <w:sz w:val="22"/>
            </w:rPr>
          </w:pPr>
          <w:r w:rsidRPr="000E00A6">
            <w:rPr>
              <w:rFonts w:cs="Calibri"/>
              <w:sz w:val="22"/>
            </w:rPr>
            <w:t xml:space="preserve">CSIRO is a values-based organisation committed to values-based leadership. </w:t>
          </w:r>
        </w:p>
        <w:p w14:paraId="307AF2B9" w14:textId="77777777" w:rsidR="000E00A6" w:rsidRPr="000E00A6" w:rsidRDefault="000E00A6" w:rsidP="004105F1">
          <w:pPr>
            <w:spacing w:before="240" w:after="0" w:line="240" w:lineRule="auto"/>
            <w:jc w:val="both"/>
            <w:rPr>
              <w:rFonts w:cs="Calibri"/>
              <w:sz w:val="22"/>
            </w:rPr>
          </w:pPr>
        </w:p>
        <w:tbl>
          <w:tblPr>
            <w:tblStyle w:val="TableGrid"/>
            <w:tblW w:w="0" w:type="auto"/>
            <w:tblLook w:val="04A0" w:firstRow="1" w:lastRow="0" w:firstColumn="1" w:lastColumn="0" w:noHBand="0" w:noVBand="1"/>
          </w:tblPr>
          <w:tblGrid>
            <w:gridCol w:w="1238"/>
            <w:gridCol w:w="6083"/>
            <w:gridCol w:w="1823"/>
          </w:tblGrid>
          <w:tr w:rsidR="000E00A6" w:rsidRPr="000E00A6" w14:paraId="0DB22D20" w14:textId="77777777" w:rsidTr="00741BF8">
            <w:trPr>
              <w:trHeight w:val="266"/>
            </w:trPr>
            <w:tc>
              <w:tcPr>
                <w:tcW w:w="1238" w:type="dxa"/>
              </w:tcPr>
              <w:p w14:paraId="77BE66DE" w14:textId="77777777" w:rsidR="000E00A6" w:rsidRPr="000E00A6" w:rsidRDefault="000E00A6" w:rsidP="004105F1">
                <w:pPr>
                  <w:jc w:val="both"/>
                  <w:rPr>
                    <w:rFonts w:cs="Calibri"/>
                    <w:b/>
                    <w:bCs/>
                    <w:sz w:val="22"/>
                  </w:rPr>
                </w:pPr>
                <w:r w:rsidRPr="000E00A6">
                  <w:rPr>
                    <w:rFonts w:cs="Calibri"/>
                    <w:b/>
                    <w:bCs/>
                    <w:sz w:val="22"/>
                  </w:rPr>
                  <w:t>Value</w:t>
                </w:r>
              </w:p>
            </w:tc>
            <w:tc>
              <w:tcPr>
                <w:tcW w:w="6083" w:type="dxa"/>
              </w:tcPr>
              <w:p w14:paraId="5E7D4450" w14:textId="77777777" w:rsidR="000E00A6" w:rsidRPr="000E00A6" w:rsidRDefault="000E00A6" w:rsidP="004105F1">
                <w:pPr>
                  <w:jc w:val="both"/>
                  <w:rPr>
                    <w:rFonts w:cs="Calibri"/>
                    <w:b/>
                    <w:bCs/>
                    <w:sz w:val="22"/>
                  </w:rPr>
                </w:pPr>
                <w:r w:rsidRPr="000E00A6">
                  <w:rPr>
                    <w:rFonts w:cs="Calibri"/>
                    <w:b/>
                    <w:bCs/>
                    <w:sz w:val="22"/>
                  </w:rPr>
                  <w:t>Descriptor</w:t>
                </w:r>
              </w:p>
            </w:tc>
            <w:tc>
              <w:tcPr>
                <w:tcW w:w="1695" w:type="dxa"/>
              </w:tcPr>
              <w:p w14:paraId="06B2A009" w14:textId="77777777" w:rsidR="000E00A6" w:rsidRPr="000E00A6" w:rsidRDefault="000E00A6" w:rsidP="004105F1">
                <w:pPr>
                  <w:jc w:val="both"/>
                  <w:rPr>
                    <w:rFonts w:cs="Calibri"/>
                    <w:b/>
                    <w:bCs/>
                    <w:sz w:val="22"/>
                  </w:rPr>
                </w:pPr>
                <w:r w:rsidRPr="000E00A6">
                  <w:rPr>
                    <w:rFonts w:cs="Calibri"/>
                    <w:b/>
                    <w:bCs/>
                    <w:sz w:val="22"/>
                  </w:rPr>
                  <w:t>Behaviour</w:t>
                </w:r>
              </w:p>
            </w:tc>
          </w:tr>
          <w:tr w:rsidR="000E00A6" w:rsidRPr="000E00A6" w14:paraId="632E0A8F" w14:textId="77777777" w:rsidTr="00741BF8">
            <w:trPr>
              <w:trHeight w:val="833"/>
            </w:trPr>
            <w:tc>
              <w:tcPr>
                <w:tcW w:w="1238" w:type="dxa"/>
              </w:tcPr>
              <w:p w14:paraId="0779CC6A" w14:textId="77777777" w:rsidR="000E00A6" w:rsidRPr="000E00A6" w:rsidRDefault="000E00A6" w:rsidP="004105F1">
                <w:pPr>
                  <w:jc w:val="both"/>
                  <w:rPr>
                    <w:rFonts w:cs="Calibri"/>
                    <w:b/>
                    <w:bCs/>
                    <w:sz w:val="22"/>
                  </w:rPr>
                </w:pPr>
                <w:r w:rsidRPr="000E00A6">
                  <w:rPr>
                    <w:rFonts w:cs="Calibri"/>
                    <w:b/>
                    <w:bCs/>
                    <w:sz w:val="22"/>
                  </w:rPr>
                  <w:t>People First</w:t>
                </w:r>
              </w:p>
            </w:tc>
            <w:tc>
              <w:tcPr>
                <w:tcW w:w="6083" w:type="dxa"/>
              </w:tcPr>
              <w:p w14:paraId="66A3C34A" w14:textId="77777777" w:rsidR="000E00A6" w:rsidRPr="000E00A6" w:rsidRDefault="000E00A6" w:rsidP="004105F1">
                <w:pPr>
                  <w:jc w:val="both"/>
                  <w:rPr>
                    <w:rFonts w:cs="Calibri"/>
                    <w:sz w:val="22"/>
                  </w:rPr>
                </w:pPr>
                <w:r w:rsidRPr="000E00A6">
                  <w:rPr>
                    <w:rFonts w:cs="Calibri"/>
                    <w:sz w:val="22"/>
                  </w:rPr>
                  <w:t xml:space="preserve">Our priority is the safety and wellbeing of our people. We believe in, and respect, the power of diverse perspectives. We seek out and learn from our differences. </w:t>
                </w:r>
              </w:p>
              <w:p w14:paraId="3387E458" w14:textId="77777777" w:rsidR="000E00A6" w:rsidRPr="000E00A6" w:rsidRDefault="000E00A6" w:rsidP="004105F1">
                <w:pPr>
                  <w:pStyle w:val="ListParagraph"/>
                  <w:ind w:left="315" w:hanging="218"/>
                  <w:jc w:val="both"/>
                  <w:rPr>
                    <w:rFonts w:cs="Calibri"/>
                    <w:sz w:val="22"/>
                  </w:rPr>
                </w:pPr>
              </w:p>
            </w:tc>
            <w:tc>
              <w:tcPr>
                <w:tcW w:w="1695" w:type="dxa"/>
              </w:tcPr>
              <w:p w14:paraId="7F4FE479" w14:textId="77777777" w:rsidR="000E00A6" w:rsidRPr="000E00A6" w:rsidRDefault="000E00A6" w:rsidP="004105F1">
                <w:pPr>
                  <w:pStyle w:val="ListParagraph"/>
                  <w:numPr>
                    <w:ilvl w:val="0"/>
                    <w:numId w:val="43"/>
                  </w:numPr>
                  <w:spacing w:before="0" w:after="0" w:line="240" w:lineRule="auto"/>
                  <w:ind w:left="198" w:hanging="170"/>
                  <w:jc w:val="both"/>
                  <w:rPr>
                    <w:rFonts w:cs="Calibri"/>
                    <w:sz w:val="22"/>
                  </w:rPr>
                </w:pPr>
                <w:r w:rsidRPr="000E00A6">
                  <w:rPr>
                    <w:rFonts w:cs="Calibri"/>
                    <w:sz w:val="22"/>
                  </w:rPr>
                  <w:t>Respectful</w:t>
                </w:r>
              </w:p>
              <w:p w14:paraId="36FCF45D" w14:textId="77777777" w:rsidR="000E00A6" w:rsidRPr="000E00A6" w:rsidRDefault="000E00A6" w:rsidP="004105F1">
                <w:pPr>
                  <w:pStyle w:val="ListParagraph"/>
                  <w:numPr>
                    <w:ilvl w:val="0"/>
                    <w:numId w:val="43"/>
                  </w:numPr>
                  <w:spacing w:before="0" w:after="0" w:line="240" w:lineRule="auto"/>
                  <w:ind w:left="198" w:hanging="170"/>
                  <w:jc w:val="both"/>
                  <w:rPr>
                    <w:rFonts w:cs="Calibri"/>
                    <w:sz w:val="22"/>
                  </w:rPr>
                </w:pPr>
                <w:r w:rsidRPr="000E00A6">
                  <w:rPr>
                    <w:rFonts w:cs="Calibri"/>
                    <w:sz w:val="22"/>
                  </w:rPr>
                  <w:t>Caring</w:t>
                </w:r>
              </w:p>
              <w:p w14:paraId="213757BF" w14:textId="77777777" w:rsidR="000E00A6" w:rsidRPr="000E00A6" w:rsidRDefault="000E00A6" w:rsidP="004105F1">
                <w:pPr>
                  <w:pStyle w:val="ListParagraph"/>
                  <w:numPr>
                    <w:ilvl w:val="0"/>
                    <w:numId w:val="43"/>
                  </w:numPr>
                  <w:spacing w:before="0" w:after="0" w:line="240" w:lineRule="auto"/>
                  <w:ind w:left="198" w:hanging="170"/>
                  <w:jc w:val="both"/>
                  <w:rPr>
                    <w:rFonts w:cs="Calibri"/>
                    <w:sz w:val="22"/>
                  </w:rPr>
                </w:pPr>
                <w:r w:rsidRPr="000E00A6">
                  <w:rPr>
                    <w:rFonts w:cs="Calibri"/>
                    <w:sz w:val="22"/>
                  </w:rPr>
                  <w:t>Inclusive</w:t>
                </w:r>
              </w:p>
            </w:tc>
          </w:tr>
          <w:tr w:rsidR="000E00A6" w:rsidRPr="000E00A6" w14:paraId="4B378041" w14:textId="77777777" w:rsidTr="00741BF8">
            <w:trPr>
              <w:trHeight w:val="964"/>
            </w:trPr>
            <w:tc>
              <w:tcPr>
                <w:tcW w:w="1238" w:type="dxa"/>
              </w:tcPr>
              <w:p w14:paraId="7857F76C" w14:textId="77777777" w:rsidR="000E00A6" w:rsidRPr="000E00A6" w:rsidRDefault="000E00A6" w:rsidP="004105F1">
                <w:pPr>
                  <w:jc w:val="both"/>
                  <w:rPr>
                    <w:rFonts w:cs="Calibri"/>
                    <w:b/>
                    <w:bCs/>
                    <w:sz w:val="22"/>
                  </w:rPr>
                </w:pPr>
                <w:r w:rsidRPr="000E00A6">
                  <w:rPr>
                    <w:rFonts w:cs="Calibri"/>
                    <w:b/>
                    <w:bCs/>
                    <w:sz w:val="22"/>
                  </w:rPr>
                  <w:t>Further Together</w:t>
                </w:r>
              </w:p>
            </w:tc>
            <w:tc>
              <w:tcPr>
                <w:tcW w:w="6083" w:type="dxa"/>
              </w:tcPr>
              <w:p w14:paraId="61BBE484" w14:textId="77777777" w:rsidR="000E00A6" w:rsidRPr="000E00A6" w:rsidRDefault="000E00A6" w:rsidP="004105F1">
                <w:pPr>
                  <w:jc w:val="both"/>
                  <w:rPr>
                    <w:rFonts w:cs="Calibri"/>
                    <w:sz w:val="22"/>
                  </w:rPr>
                </w:pPr>
                <w:r w:rsidRPr="000E00A6">
                  <w:rPr>
                    <w:rFonts w:cs="Calibri"/>
                    <w:sz w:val="22"/>
                  </w:rPr>
                  <w:t>We achieve more together than we ever could alone. We listen and collaborate, in teams, across disciplines, across boundaries. We embrace ambiguity and use discussion and persistence to generate unique solutions to complex problems.</w:t>
                </w:r>
              </w:p>
              <w:p w14:paraId="003A8695" w14:textId="77777777" w:rsidR="000E00A6" w:rsidRPr="000E00A6" w:rsidRDefault="000E00A6" w:rsidP="004105F1">
                <w:pPr>
                  <w:ind w:left="315" w:hanging="218"/>
                  <w:jc w:val="both"/>
                  <w:rPr>
                    <w:rFonts w:cs="Calibri"/>
                    <w:sz w:val="22"/>
                  </w:rPr>
                </w:pPr>
              </w:p>
            </w:tc>
            <w:tc>
              <w:tcPr>
                <w:tcW w:w="1695" w:type="dxa"/>
              </w:tcPr>
              <w:p w14:paraId="6049A173" w14:textId="77777777" w:rsidR="000E00A6" w:rsidRPr="000E00A6" w:rsidRDefault="000E00A6" w:rsidP="004105F1">
                <w:pPr>
                  <w:pStyle w:val="ListParagraph"/>
                  <w:numPr>
                    <w:ilvl w:val="0"/>
                    <w:numId w:val="44"/>
                  </w:numPr>
                  <w:spacing w:before="0" w:after="0" w:line="240" w:lineRule="auto"/>
                  <w:ind w:left="198" w:hanging="170"/>
                  <w:jc w:val="both"/>
                  <w:rPr>
                    <w:rFonts w:cs="Calibri"/>
                    <w:sz w:val="22"/>
                  </w:rPr>
                </w:pPr>
                <w:r w:rsidRPr="000E00A6">
                  <w:rPr>
                    <w:rFonts w:cs="Calibri"/>
                    <w:sz w:val="22"/>
                  </w:rPr>
                  <w:t>Accountable</w:t>
                </w:r>
              </w:p>
              <w:p w14:paraId="03C38FC6" w14:textId="77777777" w:rsidR="000E00A6" w:rsidRPr="000E00A6" w:rsidRDefault="000E00A6" w:rsidP="004105F1">
                <w:pPr>
                  <w:pStyle w:val="ListParagraph"/>
                  <w:numPr>
                    <w:ilvl w:val="0"/>
                    <w:numId w:val="44"/>
                  </w:numPr>
                  <w:spacing w:before="0" w:after="0" w:line="240" w:lineRule="auto"/>
                  <w:ind w:left="198" w:hanging="170"/>
                  <w:jc w:val="both"/>
                  <w:rPr>
                    <w:rFonts w:cs="Calibri"/>
                    <w:sz w:val="22"/>
                  </w:rPr>
                </w:pPr>
                <w:r w:rsidRPr="000E00A6">
                  <w:rPr>
                    <w:rFonts w:cs="Calibri"/>
                    <w:sz w:val="22"/>
                  </w:rPr>
                  <w:t>Authentic</w:t>
                </w:r>
              </w:p>
              <w:p w14:paraId="006F5C60" w14:textId="77777777" w:rsidR="000E00A6" w:rsidRPr="000E00A6" w:rsidRDefault="000E00A6" w:rsidP="004105F1">
                <w:pPr>
                  <w:pStyle w:val="ListParagraph"/>
                  <w:numPr>
                    <w:ilvl w:val="0"/>
                    <w:numId w:val="44"/>
                  </w:numPr>
                  <w:spacing w:before="0" w:after="0" w:line="240" w:lineRule="auto"/>
                  <w:ind w:left="198" w:hanging="170"/>
                  <w:jc w:val="both"/>
                  <w:rPr>
                    <w:rFonts w:cs="Calibri"/>
                    <w:sz w:val="22"/>
                  </w:rPr>
                </w:pPr>
                <w:r w:rsidRPr="000E00A6">
                  <w:rPr>
                    <w:rFonts w:cs="Calibri"/>
                    <w:sz w:val="22"/>
                  </w:rPr>
                  <w:t>Courageous</w:t>
                </w:r>
              </w:p>
            </w:tc>
          </w:tr>
          <w:tr w:rsidR="000E00A6" w:rsidRPr="000E00A6" w14:paraId="1CBDCE36" w14:textId="77777777" w:rsidTr="00741BF8">
            <w:tc>
              <w:tcPr>
                <w:tcW w:w="1238" w:type="dxa"/>
              </w:tcPr>
              <w:p w14:paraId="2B400BFE" w14:textId="77777777" w:rsidR="000E00A6" w:rsidRPr="000E00A6" w:rsidRDefault="000E00A6" w:rsidP="004105F1">
                <w:pPr>
                  <w:jc w:val="both"/>
                  <w:rPr>
                    <w:rFonts w:cs="Calibri"/>
                    <w:b/>
                    <w:bCs/>
                    <w:sz w:val="22"/>
                  </w:rPr>
                </w:pPr>
                <w:r w:rsidRPr="000E00A6">
                  <w:rPr>
                    <w:rFonts w:cs="Calibri"/>
                    <w:b/>
                    <w:bCs/>
                    <w:sz w:val="22"/>
                  </w:rPr>
                  <w:t>Making it Real</w:t>
                </w:r>
              </w:p>
            </w:tc>
            <w:tc>
              <w:tcPr>
                <w:tcW w:w="6083" w:type="dxa"/>
              </w:tcPr>
              <w:p w14:paraId="5318CE10" w14:textId="77777777" w:rsidR="000E00A6" w:rsidRPr="000E00A6" w:rsidRDefault="000E00A6" w:rsidP="004105F1">
                <w:pPr>
                  <w:jc w:val="both"/>
                  <w:rPr>
                    <w:rFonts w:cs="Calibri"/>
                    <w:sz w:val="22"/>
                  </w:rPr>
                </w:pPr>
                <w:r w:rsidRPr="000E00A6">
                  <w:rPr>
                    <w:rFonts w:cs="Calibri"/>
                    <w:sz w:val="22"/>
                  </w:rPr>
                  <w:t>We do science with real impact. We thrive when taking on the big challenges facing the world. We take educated risks and defy convention. We celebrate successes and failures and leverage them to learn as we strive to be the force for positive change.</w:t>
                </w:r>
              </w:p>
              <w:p w14:paraId="79A61DE4" w14:textId="77777777" w:rsidR="000E00A6" w:rsidRPr="000E00A6" w:rsidRDefault="000E00A6" w:rsidP="004105F1">
                <w:pPr>
                  <w:ind w:left="315" w:hanging="218"/>
                  <w:jc w:val="both"/>
                  <w:rPr>
                    <w:rFonts w:cs="Calibri"/>
                    <w:sz w:val="22"/>
                  </w:rPr>
                </w:pPr>
              </w:p>
            </w:tc>
            <w:tc>
              <w:tcPr>
                <w:tcW w:w="1695" w:type="dxa"/>
              </w:tcPr>
              <w:p w14:paraId="74D5AB1C" w14:textId="77777777" w:rsidR="000E00A6" w:rsidRPr="000E00A6" w:rsidRDefault="000E00A6" w:rsidP="004105F1">
                <w:pPr>
                  <w:pStyle w:val="ListParagraph"/>
                  <w:numPr>
                    <w:ilvl w:val="0"/>
                    <w:numId w:val="45"/>
                  </w:numPr>
                  <w:spacing w:before="0" w:after="0" w:line="240" w:lineRule="auto"/>
                  <w:ind w:left="198" w:hanging="170"/>
                  <w:jc w:val="both"/>
                  <w:rPr>
                    <w:rFonts w:cs="Calibri"/>
                    <w:sz w:val="22"/>
                  </w:rPr>
                </w:pPr>
                <w:r w:rsidRPr="000E00A6">
                  <w:rPr>
                    <w:rFonts w:cs="Calibri"/>
                    <w:sz w:val="22"/>
                  </w:rPr>
                  <w:lastRenderedPageBreak/>
                  <w:t>Partnering</w:t>
                </w:r>
              </w:p>
              <w:p w14:paraId="441257F8" w14:textId="77777777" w:rsidR="000E00A6" w:rsidRPr="000E00A6" w:rsidRDefault="000E00A6" w:rsidP="004105F1">
                <w:pPr>
                  <w:pStyle w:val="ListParagraph"/>
                  <w:numPr>
                    <w:ilvl w:val="0"/>
                    <w:numId w:val="45"/>
                  </w:numPr>
                  <w:spacing w:before="0" w:after="0" w:line="240" w:lineRule="auto"/>
                  <w:ind w:left="198" w:hanging="170"/>
                  <w:jc w:val="both"/>
                  <w:rPr>
                    <w:rFonts w:cs="Calibri"/>
                    <w:sz w:val="22"/>
                  </w:rPr>
                </w:pPr>
                <w:r w:rsidRPr="000E00A6">
                  <w:rPr>
                    <w:rFonts w:cs="Calibri"/>
                    <w:sz w:val="22"/>
                  </w:rPr>
                  <w:t>Cooperative</w:t>
                </w:r>
              </w:p>
              <w:p w14:paraId="0EC5963F" w14:textId="77777777" w:rsidR="000E00A6" w:rsidRPr="000E00A6" w:rsidRDefault="000E00A6" w:rsidP="004105F1">
                <w:pPr>
                  <w:pStyle w:val="ListParagraph"/>
                  <w:numPr>
                    <w:ilvl w:val="0"/>
                    <w:numId w:val="45"/>
                  </w:numPr>
                  <w:spacing w:before="0" w:after="0" w:line="240" w:lineRule="auto"/>
                  <w:ind w:left="198" w:hanging="170"/>
                  <w:jc w:val="both"/>
                  <w:rPr>
                    <w:rFonts w:cs="Calibri"/>
                    <w:sz w:val="22"/>
                  </w:rPr>
                </w:pPr>
                <w:r w:rsidRPr="000E00A6">
                  <w:rPr>
                    <w:rFonts w:cs="Calibri"/>
                    <w:sz w:val="22"/>
                  </w:rPr>
                  <w:t>Humble</w:t>
                </w:r>
              </w:p>
              <w:p w14:paraId="4D21977F" w14:textId="77777777" w:rsidR="000E00A6" w:rsidRPr="000E00A6" w:rsidRDefault="000E00A6" w:rsidP="004105F1">
                <w:pPr>
                  <w:pStyle w:val="ListParagraph"/>
                  <w:ind w:left="198" w:hanging="170"/>
                  <w:jc w:val="both"/>
                  <w:rPr>
                    <w:rFonts w:cs="Calibri"/>
                    <w:sz w:val="22"/>
                  </w:rPr>
                </w:pPr>
              </w:p>
            </w:tc>
          </w:tr>
          <w:tr w:rsidR="000E00A6" w:rsidRPr="000E00A6" w14:paraId="40859060" w14:textId="77777777" w:rsidTr="00741BF8">
            <w:trPr>
              <w:trHeight w:val="64"/>
            </w:trPr>
            <w:tc>
              <w:tcPr>
                <w:tcW w:w="1238" w:type="dxa"/>
              </w:tcPr>
              <w:p w14:paraId="389CB6BF" w14:textId="77777777" w:rsidR="000E00A6" w:rsidRPr="000E00A6" w:rsidRDefault="000E00A6" w:rsidP="004105F1">
                <w:pPr>
                  <w:jc w:val="both"/>
                  <w:rPr>
                    <w:rFonts w:cs="Calibri"/>
                    <w:b/>
                    <w:bCs/>
                    <w:sz w:val="22"/>
                  </w:rPr>
                </w:pPr>
                <w:r w:rsidRPr="000E00A6">
                  <w:rPr>
                    <w:rFonts w:cs="Calibri"/>
                    <w:b/>
                    <w:bCs/>
                    <w:sz w:val="22"/>
                  </w:rPr>
                  <w:t>Trusted</w:t>
                </w:r>
              </w:p>
            </w:tc>
            <w:tc>
              <w:tcPr>
                <w:tcW w:w="6083" w:type="dxa"/>
              </w:tcPr>
              <w:p w14:paraId="12234B1F" w14:textId="5DB70EBF" w:rsidR="000E00A6" w:rsidRPr="000E00A6" w:rsidRDefault="000E00A6" w:rsidP="004105F1">
                <w:pPr>
                  <w:jc w:val="both"/>
                  <w:rPr>
                    <w:rFonts w:cs="Calibri"/>
                    <w:sz w:val="22"/>
                  </w:rPr>
                </w:pPr>
                <w:r w:rsidRPr="000E00A6">
                  <w:rPr>
                    <w:rFonts w:cs="Calibri"/>
                    <w:sz w:val="22"/>
                  </w:rPr>
                  <w:t>We’re driven by purpose but remain objective. We fight misinformation with facts. We earn trust everywhere through everything we do. We trust each other and we hold each other accountable. Together our actions drive Australia’s trust in CSIRO.</w:t>
                </w:r>
              </w:p>
            </w:tc>
            <w:tc>
              <w:tcPr>
                <w:tcW w:w="1695" w:type="dxa"/>
              </w:tcPr>
              <w:p w14:paraId="6F05ABD1" w14:textId="77777777" w:rsidR="000E00A6" w:rsidRPr="000E00A6" w:rsidRDefault="000E00A6" w:rsidP="004105F1">
                <w:pPr>
                  <w:pStyle w:val="ListParagraph"/>
                  <w:numPr>
                    <w:ilvl w:val="0"/>
                    <w:numId w:val="46"/>
                  </w:numPr>
                  <w:spacing w:before="0" w:after="0" w:line="240" w:lineRule="auto"/>
                  <w:ind w:left="198" w:hanging="170"/>
                  <w:jc w:val="both"/>
                  <w:rPr>
                    <w:rFonts w:cs="Calibri"/>
                    <w:sz w:val="22"/>
                  </w:rPr>
                </w:pPr>
                <w:r w:rsidRPr="000E00A6">
                  <w:rPr>
                    <w:rFonts w:cs="Calibri"/>
                    <w:sz w:val="22"/>
                  </w:rPr>
                  <w:t>Curious</w:t>
                </w:r>
              </w:p>
              <w:p w14:paraId="479D5CAC" w14:textId="77777777" w:rsidR="000E00A6" w:rsidRPr="000E00A6" w:rsidRDefault="000E00A6" w:rsidP="004105F1">
                <w:pPr>
                  <w:pStyle w:val="ListParagraph"/>
                  <w:numPr>
                    <w:ilvl w:val="0"/>
                    <w:numId w:val="46"/>
                  </w:numPr>
                  <w:spacing w:before="0" w:after="0" w:line="240" w:lineRule="auto"/>
                  <w:ind w:left="198" w:hanging="170"/>
                  <w:jc w:val="both"/>
                  <w:rPr>
                    <w:rFonts w:cs="Calibri"/>
                    <w:sz w:val="22"/>
                  </w:rPr>
                </w:pPr>
                <w:r w:rsidRPr="000E00A6">
                  <w:rPr>
                    <w:rFonts w:cs="Calibri"/>
                    <w:sz w:val="22"/>
                  </w:rPr>
                  <w:t>Adaptive</w:t>
                </w:r>
              </w:p>
              <w:p w14:paraId="7AF9141D" w14:textId="77777777" w:rsidR="000E00A6" w:rsidRPr="000E00A6" w:rsidRDefault="000E00A6" w:rsidP="004105F1">
                <w:pPr>
                  <w:pStyle w:val="ListParagraph"/>
                  <w:numPr>
                    <w:ilvl w:val="0"/>
                    <w:numId w:val="46"/>
                  </w:numPr>
                  <w:spacing w:before="0" w:after="0" w:line="240" w:lineRule="auto"/>
                  <w:ind w:left="198" w:hanging="170"/>
                  <w:jc w:val="both"/>
                  <w:rPr>
                    <w:rFonts w:cs="Calibri"/>
                    <w:sz w:val="22"/>
                  </w:rPr>
                </w:pPr>
                <w:r w:rsidRPr="000E00A6">
                  <w:rPr>
                    <w:rFonts w:cs="Calibri"/>
                    <w:sz w:val="22"/>
                  </w:rPr>
                  <w:t>Entrepreneurial</w:t>
                </w:r>
              </w:p>
            </w:tc>
          </w:tr>
        </w:tbl>
        <w:p w14:paraId="5F0085D2" w14:textId="77777777" w:rsidR="000E00A6" w:rsidRDefault="000E00A6" w:rsidP="004105F1">
          <w:pPr>
            <w:spacing w:before="240" w:after="0" w:line="240" w:lineRule="auto"/>
            <w:jc w:val="both"/>
            <w:rPr>
              <w:rFonts w:cs="Calibri"/>
              <w:b/>
              <w:bCs/>
              <w:sz w:val="26"/>
              <w:szCs w:val="26"/>
              <w:highlight w:val="yellow"/>
            </w:rPr>
          </w:pPr>
        </w:p>
        <w:p w14:paraId="321AA60D" w14:textId="77777777" w:rsidR="000E00A6" w:rsidRPr="00807670" w:rsidRDefault="000E00A6" w:rsidP="004105F1">
          <w:pPr>
            <w:jc w:val="both"/>
            <w:rPr>
              <w:b/>
              <w:bCs/>
              <w:sz w:val="26"/>
              <w:szCs w:val="26"/>
            </w:rPr>
          </w:pPr>
          <w:r w:rsidRPr="00807670">
            <w:rPr>
              <w:b/>
              <w:bCs/>
              <w:sz w:val="26"/>
              <w:szCs w:val="26"/>
            </w:rPr>
            <w:t>Child Safety</w:t>
          </w:r>
        </w:p>
        <w:p w14:paraId="61670C7B" w14:textId="4361159E" w:rsidR="00232B60" w:rsidRDefault="000E00A6" w:rsidP="004105F1">
          <w:pPr>
            <w:spacing w:before="0" w:after="60" w:line="240" w:lineRule="auto"/>
            <w:jc w:val="both"/>
            <w:rPr>
              <w:sz w:val="22"/>
            </w:rPr>
          </w:pPr>
          <w:r w:rsidRPr="000E00A6">
            <w:rPr>
              <w:sz w:val="22"/>
            </w:rPr>
            <w:t xml:space="preserve">CSIRO is committed to the safety and wellbeing of all children and young people involved in our activities and programs. View our </w:t>
          </w:r>
          <w:hyperlink r:id="rId24">
            <w:r w:rsidRPr="000E00A6">
              <w:rPr>
                <w:rStyle w:val="Hyperlink"/>
                <w:sz w:val="22"/>
              </w:rPr>
              <w:t>Child Safe Policy</w:t>
            </w:r>
          </w:hyperlink>
          <w:r w:rsidRPr="000E00A6">
            <w:rPr>
              <w:sz w:val="22"/>
            </w:rPr>
            <w:t>.</w:t>
          </w:r>
        </w:p>
        <w:p w14:paraId="481F8107" w14:textId="77777777" w:rsidR="00F60320" w:rsidRDefault="00F60320" w:rsidP="004105F1">
          <w:pPr>
            <w:spacing w:before="0" w:after="60" w:line="240" w:lineRule="auto"/>
            <w:jc w:val="both"/>
            <w:rPr>
              <w:sz w:val="22"/>
            </w:rPr>
          </w:pPr>
        </w:p>
        <w:p w14:paraId="515D7A2D" w14:textId="77777777" w:rsidR="00F60320" w:rsidRDefault="00F60320" w:rsidP="004105F1">
          <w:pPr>
            <w:spacing w:before="0"/>
            <w:jc w:val="both"/>
            <w:rPr>
              <w:szCs w:val="24"/>
            </w:rPr>
          </w:pPr>
        </w:p>
        <w:p w14:paraId="0A24E279" w14:textId="77777777" w:rsidR="00F60320" w:rsidRPr="009D3ABF" w:rsidRDefault="00F60320" w:rsidP="004105F1">
          <w:pPr>
            <w:spacing w:before="0"/>
            <w:jc w:val="both"/>
            <w:rPr>
              <w:szCs w:val="24"/>
            </w:rPr>
          </w:pPr>
        </w:p>
        <w:p w14:paraId="4410F26E" w14:textId="77777777" w:rsidR="00F60320" w:rsidRPr="002D2D9C" w:rsidRDefault="00F60320" w:rsidP="004105F1">
          <w:pPr>
            <w:pStyle w:val="Boxedheading"/>
            <w:pBdr>
              <w:top w:val="none" w:sz="0" w:space="0" w:color="auto"/>
              <w:left w:val="none" w:sz="0" w:space="0" w:color="auto"/>
              <w:bottom w:val="none" w:sz="0" w:space="0" w:color="auto"/>
              <w:right w:val="none" w:sz="0" w:space="0" w:color="auto"/>
            </w:pBdr>
            <w:spacing w:before="0" w:after="120"/>
            <w:ind w:left="0" w:right="0"/>
            <w:jc w:val="both"/>
            <w:rPr>
              <w:sz w:val="26"/>
              <w:szCs w:val="26"/>
            </w:rPr>
          </w:pPr>
          <w:r w:rsidRPr="002D2D9C">
            <w:rPr>
              <w:sz w:val="26"/>
              <w:szCs w:val="26"/>
            </w:rPr>
            <w:t>Special Requirements</w:t>
          </w:r>
        </w:p>
        <w:p w14:paraId="593141D2"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jc w:val="both"/>
            <w:rPr>
              <w:iCs/>
              <w:sz w:val="22"/>
              <w:szCs w:val="22"/>
            </w:rPr>
          </w:pPr>
          <w:r w:rsidRPr="002D2D9C">
            <w:rPr>
              <w:iCs/>
              <w:sz w:val="22"/>
              <w:szCs w:val="22"/>
            </w:rPr>
            <w:t>Appointment to this role is subject to provision of a pre-employment background check and may be subject to other security/medical/character clearance requirements.</w:t>
          </w:r>
        </w:p>
        <w:p w14:paraId="51B709A7"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jc w:val="both"/>
            <w:rPr>
              <w:iCs/>
              <w:sz w:val="22"/>
              <w:szCs w:val="22"/>
            </w:rPr>
          </w:pPr>
        </w:p>
        <w:p w14:paraId="75FA28E0"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jc w:val="both"/>
            <w:rPr>
              <w:b/>
              <w:bCs/>
              <w:iCs/>
              <w:sz w:val="22"/>
              <w:szCs w:val="22"/>
            </w:rPr>
          </w:pPr>
          <w:r w:rsidRPr="002D2D9C">
            <w:rPr>
              <w:b/>
              <w:bCs/>
              <w:iCs/>
              <w:sz w:val="22"/>
              <w:szCs w:val="22"/>
            </w:rPr>
            <w:t>Security Assessment and Microbiological Security Requirements for Personnel Working on the Australian Centre for Disease Preparedness (ACDP) Site:</w:t>
          </w:r>
        </w:p>
        <w:p w14:paraId="18FF1815"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1.</w:t>
          </w:r>
          <w:r w:rsidRPr="002D2D9C">
            <w:rPr>
              <w:iCs/>
              <w:sz w:val="22"/>
              <w:szCs w:val="22"/>
            </w:rPr>
            <w:tab/>
            <w:t>Certain positions including those working in the ACDP microbiological secure area will require security clearance at a level appropriate to duties of the position. Confirmation of the appointment is subject to obtaining that clearance.</w:t>
          </w:r>
        </w:p>
        <w:p w14:paraId="0D4B971A"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2.</w:t>
          </w:r>
          <w:r w:rsidRPr="002D2D9C">
            <w:rPr>
              <w:iCs/>
              <w:sz w:val="22"/>
              <w:szCs w:val="22"/>
            </w:rPr>
            <w:tab/>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27F08023" w14:textId="16EB17ED"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3.</w:t>
          </w:r>
          <w:r w:rsidRPr="002D2D9C">
            <w:rPr>
              <w:iCs/>
              <w:sz w:val="22"/>
              <w:szCs w:val="22"/>
            </w:rPr>
            <w:tab/>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50708153"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4.</w:t>
          </w:r>
          <w:r w:rsidRPr="002D2D9C">
            <w:rPr>
              <w:iCs/>
              <w:sz w:val="22"/>
              <w:szCs w:val="22"/>
            </w:rPr>
            <w:tab/>
            <w:t>Working in the barrier maintained Small Animal Facility or the Werribee Animal Health Farm requires avoidance of additional animals such as mice, rats, guinea pigs, rabbits, ferrets and poultry of a minimum of 3 days prior to arrival.</w:t>
          </w:r>
        </w:p>
        <w:p w14:paraId="071E395A"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5.</w:t>
          </w:r>
          <w:r w:rsidRPr="002D2D9C">
            <w:rPr>
              <w:iCs/>
              <w:sz w:val="22"/>
              <w:szCs w:val="22"/>
            </w:rPr>
            <w:tab/>
            <w:t>Certain positions will require medical assessment and vaccinations against various agents such as influenza, rabies, hepatitis B, Japanese encephalitis or other agents as specified if required for the role performed.</w:t>
          </w:r>
        </w:p>
        <w:p w14:paraId="2D8AF043"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6.</w:t>
          </w:r>
          <w:r w:rsidRPr="002D2D9C">
            <w:rPr>
              <w:iCs/>
              <w:sz w:val="22"/>
              <w:szCs w:val="22"/>
            </w:rPr>
            <w:tab/>
            <w:t xml:space="preserve">Positions working at PC4 will also require a pre-employment psychological assessment. </w:t>
          </w:r>
        </w:p>
        <w:p w14:paraId="46300784"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7.</w:t>
          </w:r>
          <w:r w:rsidRPr="002D2D9C">
            <w:rPr>
              <w:iCs/>
              <w:sz w:val="22"/>
              <w:szCs w:val="22"/>
            </w:rPr>
            <w:tab/>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3B9D303D"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lastRenderedPageBreak/>
            <w:t>8.</w:t>
          </w:r>
          <w:r w:rsidRPr="002D2D9C">
            <w:rPr>
              <w:iCs/>
              <w:sz w:val="22"/>
              <w:szCs w:val="22"/>
            </w:rPr>
            <w:tab/>
            <w:t>Should an emergency response situation arise, ACDP may be required to implement the Emergency Animal Disease Response Plan and personnel may need to contribute to response requirements, including after-hours work.</w:t>
          </w:r>
        </w:p>
        <w:p w14:paraId="18507379"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9.</w:t>
          </w:r>
          <w:r w:rsidRPr="002D2D9C">
            <w:rPr>
              <w:iCs/>
              <w:sz w:val="22"/>
              <w:szCs w:val="22"/>
            </w:rPr>
            <w:tab/>
            <w:t xml:space="preserve">Personnel must abide by Occupational Health, Safety and Environment regulations. Safety signs and directives issued by CSIRO personnel must be </w:t>
          </w:r>
          <w:proofErr w:type="gramStart"/>
          <w:r w:rsidRPr="002D2D9C">
            <w:rPr>
              <w:iCs/>
              <w:sz w:val="22"/>
              <w:szCs w:val="22"/>
            </w:rPr>
            <w:t>complied with at all times</w:t>
          </w:r>
          <w:proofErr w:type="gramEnd"/>
          <w:r w:rsidRPr="002D2D9C">
            <w:rPr>
              <w:iCs/>
              <w:sz w:val="22"/>
              <w:szCs w:val="22"/>
            </w:rPr>
            <w:t>.</w:t>
          </w:r>
        </w:p>
        <w:p w14:paraId="616A9E3B"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iCs/>
              <w:sz w:val="22"/>
              <w:szCs w:val="22"/>
            </w:rPr>
          </w:pPr>
          <w:r w:rsidRPr="002D2D9C">
            <w:rPr>
              <w:iCs/>
              <w:sz w:val="22"/>
              <w:szCs w:val="22"/>
            </w:rPr>
            <w:t>10.</w:t>
          </w:r>
          <w:r w:rsidRPr="002D2D9C">
            <w:rPr>
              <w:iCs/>
              <w:sz w:val="22"/>
              <w:szCs w:val="22"/>
            </w:rPr>
            <w:tab/>
            <w:t>Access restrictions apply to the Werribee Animal Health Facility (WAHF) site that is associated with, but remote from, the ACDP site.</w:t>
          </w:r>
        </w:p>
        <w:p w14:paraId="52451CE4"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spacing w:after="120"/>
            <w:ind w:right="0"/>
            <w:contextualSpacing w:val="0"/>
            <w:jc w:val="both"/>
            <w:rPr>
              <w:b/>
              <w:bCs/>
              <w:iCs/>
              <w:sz w:val="22"/>
              <w:szCs w:val="22"/>
            </w:rPr>
          </w:pPr>
          <w:r w:rsidRPr="002D2D9C">
            <w:rPr>
              <w:b/>
              <w:bCs/>
              <w:iCs/>
              <w:sz w:val="22"/>
              <w:szCs w:val="22"/>
            </w:rPr>
            <w:t>The successful candidate will be required to:</w:t>
          </w:r>
        </w:p>
        <w:p w14:paraId="40724067"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sz w:val="22"/>
              <w:szCs w:val="22"/>
            </w:rPr>
          </w:pPr>
          <w:r w:rsidRPr="002D2D9C">
            <w:rPr>
              <w:sz w:val="22"/>
              <w:szCs w:val="22"/>
            </w:rPr>
            <w:t>1.</w:t>
          </w:r>
          <w:r w:rsidRPr="002D2D9C">
            <w:rPr>
              <w:sz w:val="22"/>
              <w:szCs w:val="22"/>
            </w:rPr>
            <w:tab/>
            <w:t xml:space="preserve">Obtain and provide evidence of a National Police Clearance or equivalent. Please note that individuals with criminal records are not automatically deemed ineligible. Each application will be considered on its merits. </w:t>
          </w:r>
        </w:p>
        <w:p w14:paraId="7A1D86A2" w14:textId="77777777" w:rsidR="00F60320" w:rsidRPr="002D2D9C"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5" w:right="0" w:hanging="425"/>
            <w:contextualSpacing w:val="0"/>
            <w:jc w:val="both"/>
            <w:rPr>
              <w:sz w:val="22"/>
              <w:szCs w:val="22"/>
            </w:rPr>
          </w:pPr>
          <w:r w:rsidRPr="002D2D9C">
            <w:rPr>
              <w:iCs/>
              <w:sz w:val="22"/>
              <w:szCs w:val="22"/>
            </w:rPr>
            <w:t>2.</w:t>
          </w:r>
          <w:r w:rsidRPr="002D2D9C">
            <w:rPr>
              <w:iCs/>
              <w:sz w:val="22"/>
              <w:szCs w:val="22"/>
            </w:rPr>
            <w:tab/>
          </w:r>
          <w:r w:rsidRPr="002D2D9C">
            <w:rPr>
              <w:sz w:val="22"/>
              <w:szCs w:val="22"/>
            </w:rPr>
            <w:t>Undertake a National Health Security Check (to be arranged post-commencement).</w:t>
          </w:r>
        </w:p>
        <w:p w14:paraId="59C2DF2C" w14:textId="77777777" w:rsidR="00F60320" w:rsidRPr="005B55D9" w:rsidRDefault="00F60320" w:rsidP="004105F1">
          <w:pPr>
            <w:pStyle w:val="Boxedlistbullet"/>
            <w:numPr>
              <w:ilvl w:val="0"/>
              <w:numId w:val="0"/>
            </w:numPr>
            <w:pBdr>
              <w:top w:val="none" w:sz="0" w:space="0" w:color="auto"/>
              <w:left w:val="none" w:sz="0" w:space="0" w:color="auto"/>
              <w:bottom w:val="none" w:sz="0" w:space="0" w:color="auto"/>
              <w:right w:val="none" w:sz="0" w:space="0" w:color="auto"/>
            </w:pBdr>
            <w:tabs>
              <w:tab w:val="left" w:pos="426"/>
            </w:tabs>
            <w:spacing w:after="120"/>
            <w:ind w:left="426" w:right="0" w:hanging="426"/>
            <w:contextualSpacing w:val="0"/>
            <w:jc w:val="both"/>
            <w:rPr>
              <w:sz w:val="22"/>
              <w:szCs w:val="22"/>
            </w:rPr>
          </w:pPr>
          <w:r w:rsidRPr="002D2D9C">
            <w:rPr>
              <w:iCs/>
              <w:sz w:val="22"/>
              <w:szCs w:val="22"/>
            </w:rPr>
            <w:t>3.</w:t>
          </w:r>
          <w:r w:rsidRPr="002D2D9C">
            <w:rPr>
              <w:iCs/>
              <w:sz w:val="22"/>
              <w:szCs w:val="22"/>
            </w:rPr>
            <w:tab/>
          </w:r>
          <w:r w:rsidRPr="002D2D9C">
            <w:rPr>
              <w:sz w:val="22"/>
              <w:szCs w:val="22"/>
            </w:rPr>
            <w:t>Obtain and maintain a security clearan</w:t>
          </w:r>
          <w:r w:rsidRPr="003679FD">
            <w:t xml:space="preserve">ce </w:t>
          </w:r>
          <w:r w:rsidRPr="005B55D9">
            <w:rPr>
              <w:sz w:val="22"/>
              <w:szCs w:val="22"/>
            </w:rPr>
            <w:t>at the Negative Vetting Level 1 (to be arranged post-commencement).</w:t>
          </w:r>
        </w:p>
        <w:p w14:paraId="23F89199" w14:textId="77777777" w:rsidR="00F60320" w:rsidRDefault="00F60320" w:rsidP="00F60320">
          <w:pPr>
            <w:spacing w:before="0"/>
          </w:pPr>
        </w:p>
        <w:p w14:paraId="44A05A85" w14:textId="77777777" w:rsidR="00F60320" w:rsidRPr="000E00A6" w:rsidRDefault="00000000" w:rsidP="000E00A6">
          <w:pPr>
            <w:spacing w:before="0" w:after="60" w:line="240" w:lineRule="auto"/>
            <w:jc w:val="both"/>
            <w:rPr>
              <w:bCs/>
              <w:iCs/>
              <w:sz w:val="22"/>
            </w:rPr>
          </w:pPr>
        </w:p>
      </w:sdtContent>
    </w:sdt>
    <w:bookmarkEnd w:id="1" w:displacedByCustomXml="prev"/>
    <w:sectPr w:rsidR="00F60320" w:rsidRPr="000E00A6" w:rsidSect="004D6766">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CF81" w14:textId="77777777" w:rsidR="00BC54B2" w:rsidRDefault="00BC54B2" w:rsidP="000A377A">
      <w:r>
        <w:separator/>
      </w:r>
    </w:p>
  </w:endnote>
  <w:endnote w:type="continuationSeparator" w:id="0">
    <w:p w14:paraId="63C09D75" w14:textId="77777777" w:rsidR="00BC54B2" w:rsidRDefault="00BC54B2" w:rsidP="000A377A">
      <w:r>
        <w:continuationSeparator/>
      </w:r>
    </w:p>
  </w:endnote>
  <w:endnote w:type="continuationNotice" w:id="1">
    <w:p w14:paraId="20CE20E7" w14:textId="77777777" w:rsidR="00BC54B2" w:rsidRDefault="00BC54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ABCB" w14:textId="77777777" w:rsidR="00BC54B2" w:rsidRDefault="00BC54B2" w:rsidP="000A377A">
      <w:r>
        <w:separator/>
      </w:r>
    </w:p>
  </w:footnote>
  <w:footnote w:type="continuationSeparator" w:id="0">
    <w:p w14:paraId="7A7E9190" w14:textId="77777777" w:rsidR="00BC54B2" w:rsidRDefault="00BC54B2" w:rsidP="000A377A">
      <w:r>
        <w:continuationSeparator/>
      </w:r>
    </w:p>
  </w:footnote>
  <w:footnote w:type="continuationNotice" w:id="1">
    <w:p w14:paraId="6637B525" w14:textId="77777777" w:rsidR="00BC54B2" w:rsidRDefault="00BC54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D05425"/>
    <w:multiLevelType w:val="hybridMultilevel"/>
    <w:tmpl w:val="D3F4E5EA"/>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A172BD"/>
    <w:multiLevelType w:val="hybridMultilevel"/>
    <w:tmpl w:val="148C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C7D8C"/>
    <w:multiLevelType w:val="hybridMultilevel"/>
    <w:tmpl w:val="D0B2E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7231BC"/>
    <w:multiLevelType w:val="hybridMultilevel"/>
    <w:tmpl w:val="A53EC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1262367">
    <w:abstractNumId w:val="9"/>
  </w:num>
  <w:num w:numId="2" w16cid:durableId="1402290881">
    <w:abstractNumId w:val="7"/>
  </w:num>
  <w:num w:numId="3" w16cid:durableId="713698619">
    <w:abstractNumId w:val="6"/>
  </w:num>
  <w:num w:numId="4" w16cid:durableId="1467550830">
    <w:abstractNumId w:val="5"/>
  </w:num>
  <w:num w:numId="5" w16cid:durableId="1613629745">
    <w:abstractNumId w:val="4"/>
  </w:num>
  <w:num w:numId="6" w16cid:durableId="1623462647">
    <w:abstractNumId w:val="8"/>
  </w:num>
  <w:num w:numId="7" w16cid:durableId="1025063693">
    <w:abstractNumId w:val="3"/>
  </w:num>
  <w:num w:numId="8" w16cid:durableId="789710202">
    <w:abstractNumId w:val="2"/>
  </w:num>
  <w:num w:numId="9" w16cid:durableId="2114282077">
    <w:abstractNumId w:val="1"/>
  </w:num>
  <w:num w:numId="10" w16cid:durableId="1245990643">
    <w:abstractNumId w:val="0"/>
  </w:num>
  <w:num w:numId="11" w16cid:durableId="1166751296">
    <w:abstractNumId w:val="26"/>
  </w:num>
  <w:num w:numId="12" w16cid:durableId="118647911">
    <w:abstractNumId w:val="18"/>
  </w:num>
  <w:num w:numId="13" w16cid:durableId="287786787">
    <w:abstractNumId w:val="17"/>
  </w:num>
  <w:num w:numId="14" w16cid:durableId="756906219">
    <w:abstractNumId w:val="32"/>
  </w:num>
  <w:num w:numId="15" w16cid:durableId="1302613196">
    <w:abstractNumId w:val="37"/>
  </w:num>
  <w:num w:numId="16" w16cid:durableId="955060716">
    <w:abstractNumId w:val="33"/>
  </w:num>
  <w:num w:numId="17" w16cid:durableId="1648851170">
    <w:abstractNumId w:val="21"/>
  </w:num>
  <w:num w:numId="18" w16cid:durableId="2068920367">
    <w:abstractNumId w:val="25"/>
  </w:num>
  <w:num w:numId="19" w16cid:durableId="738791825">
    <w:abstractNumId w:val="19"/>
  </w:num>
  <w:num w:numId="20" w16cid:durableId="693964185">
    <w:abstractNumId w:val="14"/>
  </w:num>
  <w:num w:numId="21" w16cid:durableId="347299209">
    <w:abstractNumId w:val="16"/>
  </w:num>
  <w:num w:numId="22" w16cid:durableId="220022764">
    <w:abstractNumId w:val="12"/>
  </w:num>
  <w:num w:numId="23" w16cid:durableId="615329201">
    <w:abstractNumId w:val="10"/>
  </w:num>
  <w:num w:numId="24" w16cid:durableId="620653756">
    <w:abstractNumId w:val="20"/>
  </w:num>
  <w:num w:numId="25" w16cid:durableId="875392463">
    <w:abstractNumId w:val="36"/>
  </w:num>
  <w:num w:numId="26" w16cid:durableId="1061515524">
    <w:abstractNumId w:val="24"/>
  </w:num>
  <w:num w:numId="27" w16cid:durableId="1175151836">
    <w:abstractNumId w:val="30"/>
  </w:num>
  <w:num w:numId="28" w16cid:durableId="222252668">
    <w:abstractNumId w:val="28"/>
  </w:num>
  <w:num w:numId="29" w16cid:durableId="132991249">
    <w:abstractNumId w:val="10"/>
  </w:num>
  <w:num w:numId="30" w16cid:durableId="436755967">
    <w:abstractNumId w:val="28"/>
  </w:num>
  <w:num w:numId="31" w16cid:durableId="442385980">
    <w:abstractNumId w:val="38"/>
  </w:num>
  <w:num w:numId="32" w16cid:durableId="13332911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075279">
    <w:abstractNumId w:val="10"/>
  </w:num>
  <w:num w:numId="34" w16cid:durableId="636375091">
    <w:abstractNumId w:val="25"/>
  </w:num>
  <w:num w:numId="35" w16cid:durableId="1503013346">
    <w:abstractNumId w:val="11"/>
    <w:lvlOverride w:ilvl="0">
      <w:startOverride w:val="1"/>
    </w:lvlOverride>
    <w:lvlOverride w:ilvl="1"/>
    <w:lvlOverride w:ilvl="2"/>
    <w:lvlOverride w:ilvl="3"/>
    <w:lvlOverride w:ilvl="4"/>
    <w:lvlOverride w:ilvl="5"/>
    <w:lvlOverride w:ilvl="6"/>
    <w:lvlOverride w:ilvl="7"/>
    <w:lvlOverride w:ilvl="8"/>
  </w:num>
  <w:num w:numId="36" w16cid:durableId="139545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345169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1148636">
    <w:abstractNumId w:val="13"/>
  </w:num>
  <w:num w:numId="39" w16cid:durableId="975375228">
    <w:abstractNumId w:val="29"/>
  </w:num>
  <w:num w:numId="40" w16cid:durableId="444931882">
    <w:abstractNumId w:val="39"/>
  </w:num>
  <w:num w:numId="41" w16cid:durableId="19632631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8257506">
    <w:abstractNumId w:val="15"/>
  </w:num>
  <w:num w:numId="43" w16cid:durableId="291638444">
    <w:abstractNumId w:val="31"/>
  </w:num>
  <w:num w:numId="44" w16cid:durableId="772676163">
    <w:abstractNumId w:val="27"/>
  </w:num>
  <w:num w:numId="45" w16cid:durableId="1211114320">
    <w:abstractNumId w:val="35"/>
  </w:num>
  <w:num w:numId="46" w16cid:durableId="20733814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zeyMDI0NjUztjRX0lEKTi0uzszPAykwrgUAPs1VOSwAAAA="/>
  </w:docVars>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6A38"/>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4BBC"/>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29FD"/>
    <w:rsid w:val="000B3142"/>
    <w:rsid w:val="000B3207"/>
    <w:rsid w:val="000B56E0"/>
    <w:rsid w:val="000B5846"/>
    <w:rsid w:val="000B5DA3"/>
    <w:rsid w:val="000C12C8"/>
    <w:rsid w:val="000C1AA1"/>
    <w:rsid w:val="000C5CED"/>
    <w:rsid w:val="000C5DA1"/>
    <w:rsid w:val="000C67C8"/>
    <w:rsid w:val="000C6AC9"/>
    <w:rsid w:val="000D2475"/>
    <w:rsid w:val="000D30EA"/>
    <w:rsid w:val="000D46E7"/>
    <w:rsid w:val="000E00A6"/>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0A04"/>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49B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CFF"/>
    <w:rsid w:val="001D3E03"/>
    <w:rsid w:val="001D3E13"/>
    <w:rsid w:val="001D4A7E"/>
    <w:rsid w:val="001E04EB"/>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2B60"/>
    <w:rsid w:val="0023459E"/>
    <w:rsid w:val="002412E0"/>
    <w:rsid w:val="00243270"/>
    <w:rsid w:val="002447D8"/>
    <w:rsid w:val="002457DF"/>
    <w:rsid w:val="002468D5"/>
    <w:rsid w:val="00246B35"/>
    <w:rsid w:val="00246D6B"/>
    <w:rsid w:val="00250F1F"/>
    <w:rsid w:val="0025163B"/>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353"/>
    <w:rsid w:val="00294C7F"/>
    <w:rsid w:val="00295EB9"/>
    <w:rsid w:val="002964C9"/>
    <w:rsid w:val="002A01A5"/>
    <w:rsid w:val="002A10EE"/>
    <w:rsid w:val="002A1120"/>
    <w:rsid w:val="002A4CEA"/>
    <w:rsid w:val="002A636B"/>
    <w:rsid w:val="002B0E10"/>
    <w:rsid w:val="002B4A7E"/>
    <w:rsid w:val="002B6B8D"/>
    <w:rsid w:val="002B7648"/>
    <w:rsid w:val="002C339E"/>
    <w:rsid w:val="002C3AC1"/>
    <w:rsid w:val="002D1E47"/>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977"/>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97284"/>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D6953"/>
    <w:rsid w:val="003E1FC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5F1"/>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50665"/>
    <w:rsid w:val="00451BBA"/>
    <w:rsid w:val="00452AD5"/>
    <w:rsid w:val="00452FD5"/>
    <w:rsid w:val="004532E1"/>
    <w:rsid w:val="00457D8D"/>
    <w:rsid w:val="00457EC1"/>
    <w:rsid w:val="0046112E"/>
    <w:rsid w:val="00471C6C"/>
    <w:rsid w:val="004767E1"/>
    <w:rsid w:val="0048136D"/>
    <w:rsid w:val="004831C1"/>
    <w:rsid w:val="00485B0D"/>
    <w:rsid w:val="0048681F"/>
    <w:rsid w:val="00486F57"/>
    <w:rsid w:val="00486F6B"/>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41E53"/>
    <w:rsid w:val="00542231"/>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9D1"/>
    <w:rsid w:val="00587ACF"/>
    <w:rsid w:val="00590A35"/>
    <w:rsid w:val="00592355"/>
    <w:rsid w:val="005937C8"/>
    <w:rsid w:val="0059758D"/>
    <w:rsid w:val="005A0890"/>
    <w:rsid w:val="005A1024"/>
    <w:rsid w:val="005A42A4"/>
    <w:rsid w:val="005A5659"/>
    <w:rsid w:val="005A5AEE"/>
    <w:rsid w:val="005A5B21"/>
    <w:rsid w:val="005A60D8"/>
    <w:rsid w:val="005A7DB5"/>
    <w:rsid w:val="005A7F6D"/>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41C"/>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5B3B"/>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CD9"/>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6F37"/>
    <w:rsid w:val="0076761A"/>
    <w:rsid w:val="007715E7"/>
    <w:rsid w:val="0077267C"/>
    <w:rsid w:val="007746B9"/>
    <w:rsid w:val="00774973"/>
    <w:rsid w:val="00774E5B"/>
    <w:rsid w:val="00775263"/>
    <w:rsid w:val="00775640"/>
    <w:rsid w:val="00782F57"/>
    <w:rsid w:val="00783370"/>
    <w:rsid w:val="007849CB"/>
    <w:rsid w:val="00786D64"/>
    <w:rsid w:val="00792235"/>
    <w:rsid w:val="007931D1"/>
    <w:rsid w:val="007937A6"/>
    <w:rsid w:val="00793F43"/>
    <w:rsid w:val="0079514E"/>
    <w:rsid w:val="007970B5"/>
    <w:rsid w:val="00797CAB"/>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D48"/>
    <w:rsid w:val="007C78AC"/>
    <w:rsid w:val="007D0EDA"/>
    <w:rsid w:val="007D1151"/>
    <w:rsid w:val="007D12BD"/>
    <w:rsid w:val="007D21B7"/>
    <w:rsid w:val="007D2BE3"/>
    <w:rsid w:val="007D4D92"/>
    <w:rsid w:val="007D5A24"/>
    <w:rsid w:val="007D5A60"/>
    <w:rsid w:val="007D7E13"/>
    <w:rsid w:val="007E296E"/>
    <w:rsid w:val="007E4772"/>
    <w:rsid w:val="007F13F4"/>
    <w:rsid w:val="007F1969"/>
    <w:rsid w:val="007F29D2"/>
    <w:rsid w:val="007F3DFD"/>
    <w:rsid w:val="007F49D5"/>
    <w:rsid w:val="007F6703"/>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5927"/>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448D"/>
    <w:rsid w:val="00945580"/>
    <w:rsid w:val="00945A76"/>
    <w:rsid w:val="00946792"/>
    <w:rsid w:val="009472B3"/>
    <w:rsid w:val="009501D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3B90"/>
    <w:rsid w:val="009A4E4C"/>
    <w:rsid w:val="009A6581"/>
    <w:rsid w:val="009A776E"/>
    <w:rsid w:val="009B20AA"/>
    <w:rsid w:val="009B22AB"/>
    <w:rsid w:val="009B2E5B"/>
    <w:rsid w:val="009B5345"/>
    <w:rsid w:val="009B568A"/>
    <w:rsid w:val="009B6329"/>
    <w:rsid w:val="009B6BDA"/>
    <w:rsid w:val="009B75E9"/>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3C0C"/>
    <w:rsid w:val="00A04BC9"/>
    <w:rsid w:val="00A052AB"/>
    <w:rsid w:val="00A05E01"/>
    <w:rsid w:val="00A0740C"/>
    <w:rsid w:val="00A10736"/>
    <w:rsid w:val="00A10FDB"/>
    <w:rsid w:val="00A11598"/>
    <w:rsid w:val="00A17195"/>
    <w:rsid w:val="00A20F76"/>
    <w:rsid w:val="00A217C2"/>
    <w:rsid w:val="00A21F80"/>
    <w:rsid w:val="00A22B6D"/>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12F7"/>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6BA"/>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DEA"/>
    <w:rsid w:val="00B34F1F"/>
    <w:rsid w:val="00B35A10"/>
    <w:rsid w:val="00B36146"/>
    <w:rsid w:val="00B36F91"/>
    <w:rsid w:val="00B37C89"/>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4E5C"/>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1B28"/>
    <w:rsid w:val="00BB30A0"/>
    <w:rsid w:val="00BB5C6E"/>
    <w:rsid w:val="00BB66AB"/>
    <w:rsid w:val="00BB763A"/>
    <w:rsid w:val="00BC0539"/>
    <w:rsid w:val="00BC381E"/>
    <w:rsid w:val="00BC54B2"/>
    <w:rsid w:val="00BC5905"/>
    <w:rsid w:val="00BD080E"/>
    <w:rsid w:val="00BD0E05"/>
    <w:rsid w:val="00BD1D48"/>
    <w:rsid w:val="00BD3856"/>
    <w:rsid w:val="00BD4637"/>
    <w:rsid w:val="00BD601A"/>
    <w:rsid w:val="00BD6ABF"/>
    <w:rsid w:val="00BD6EE2"/>
    <w:rsid w:val="00BD768B"/>
    <w:rsid w:val="00BD7C8D"/>
    <w:rsid w:val="00BD7E41"/>
    <w:rsid w:val="00BE0CE3"/>
    <w:rsid w:val="00BE24DC"/>
    <w:rsid w:val="00BE3379"/>
    <w:rsid w:val="00BE3760"/>
    <w:rsid w:val="00BE3D33"/>
    <w:rsid w:val="00BE70C6"/>
    <w:rsid w:val="00BE7249"/>
    <w:rsid w:val="00BF05EC"/>
    <w:rsid w:val="00BF08C7"/>
    <w:rsid w:val="00BF4A86"/>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4C2"/>
    <w:rsid w:val="00C505DB"/>
    <w:rsid w:val="00C52E4B"/>
    <w:rsid w:val="00C54709"/>
    <w:rsid w:val="00C6293F"/>
    <w:rsid w:val="00C64ABC"/>
    <w:rsid w:val="00C64D51"/>
    <w:rsid w:val="00C65D46"/>
    <w:rsid w:val="00C661DC"/>
    <w:rsid w:val="00C67E8A"/>
    <w:rsid w:val="00C70333"/>
    <w:rsid w:val="00C71880"/>
    <w:rsid w:val="00C71CB5"/>
    <w:rsid w:val="00C72F41"/>
    <w:rsid w:val="00C76C12"/>
    <w:rsid w:val="00C77DB2"/>
    <w:rsid w:val="00C77F44"/>
    <w:rsid w:val="00C80586"/>
    <w:rsid w:val="00C83DFF"/>
    <w:rsid w:val="00C8578A"/>
    <w:rsid w:val="00C859EC"/>
    <w:rsid w:val="00C86E28"/>
    <w:rsid w:val="00C870B1"/>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3531"/>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01F5"/>
    <w:rsid w:val="00CE2717"/>
    <w:rsid w:val="00CE4BE8"/>
    <w:rsid w:val="00CE4C0F"/>
    <w:rsid w:val="00CE58A3"/>
    <w:rsid w:val="00CE5D73"/>
    <w:rsid w:val="00CE6167"/>
    <w:rsid w:val="00CE7C9F"/>
    <w:rsid w:val="00CF23F7"/>
    <w:rsid w:val="00CF33F0"/>
    <w:rsid w:val="00CF3D01"/>
    <w:rsid w:val="00CF4D05"/>
    <w:rsid w:val="00CF6704"/>
    <w:rsid w:val="00D002C1"/>
    <w:rsid w:val="00D006AE"/>
    <w:rsid w:val="00D007E2"/>
    <w:rsid w:val="00D009D8"/>
    <w:rsid w:val="00D00FC7"/>
    <w:rsid w:val="00D01206"/>
    <w:rsid w:val="00D03B37"/>
    <w:rsid w:val="00D05036"/>
    <w:rsid w:val="00D05B97"/>
    <w:rsid w:val="00D06910"/>
    <w:rsid w:val="00D06E61"/>
    <w:rsid w:val="00D07D44"/>
    <w:rsid w:val="00D07E71"/>
    <w:rsid w:val="00D1089E"/>
    <w:rsid w:val="00D111AB"/>
    <w:rsid w:val="00D11BE7"/>
    <w:rsid w:val="00D147F6"/>
    <w:rsid w:val="00D173B2"/>
    <w:rsid w:val="00D22432"/>
    <w:rsid w:val="00D23943"/>
    <w:rsid w:val="00D254CE"/>
    <w:rsid w:val="00D3063E"/>
    <w:rsid w:val="00D31094"/>
    <w:rsid w:val="00D3141F"/>
    <w:rsid w:val="00D31A90"/>
    <w:rsid w:val="00D334EA"/>
    <w:rsid w:val="00D33627"/>
    <w:rsid w:val="00D34F20"/>
    <w:rsid w:val="00D34F8A"/>
    <w:rsid w:val="00D36881"/>
    <w:rsid w:val="00D36B0B"/>
    <w:rsid w:val="00D40C06"/>
    <w:rsid w:val="00D438A9"/>
    <w:rsid w:val="00D43B4E"/>
    <w:rsid w:val="00D4451C"/>
    <w:rsid w:val="00D45617"/>
    <w:rsid w:val="00D45B9A"/>
    <w:rsid w:val="00D46468"/>
    <w:rsid w:val="00D464E9"/>
    <w:rsid w:val="00D46C32"/>
    <w:rsid w:val="00D476E9"/>
    <w:rsid w:val="00D544A3"/>
    <w:rsid w:val="00D55AC8"/>
    <w:rsid w:val="00D56FE1"/>
    <w:rsid w:val="00D576A5"/>
    <w:rsid w:val="00D57C3F"/>
    <w:rsid w:val="00D60D3A"/>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00F1"/>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4BCC"/>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2E8"/>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176A"/>
    <w:rsid w:val="00F43284"/>
    <w:rsid w:val="00F4614F"/>
    <w:rsid w:val="00F467D8"/>
    <w:rsid w:val="00F4732A"/>
    <w:rsid w:val="00F50FE5"/>
    <w:rsid w:val="00F53968"/>
    <w:rsid w:val="00F54AF8"/>
    <w:rsid w:val="00F54C0C"/>
    <w:rsid w:val="00F54F83"/>
    <w:rsid w:val="00F55BE6"/>
    <w:rsid w:val="00F56EA3"/>
    <w:rsid w:val="00F60320"/>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paragraph" w:styleId="Revision">
    <w:name w:val="Revision"/>
    <w:hidden/>
    <w:uiPriority w:val="99"/>
    <w:semiHidden/>
    <w:rsid w:val="00E300F1"/>
    <w:rPr>
      <w:rFonts w:ascii="Calibri" w:eastAsia="Calibri" w:hAnsi="Calibri"/>
      <w:color w:val="000000"/>
      <w:sz w:val="24"/>
      <w:szCs w:val="22"/>
    </w:rPr>
  </w:style>
  <w:style w:type="character" w:customStyle="1" w:styleId="eop">
    <w:name w:val="eop"/>
    <w:basedOn w:val="DefaultParagraphFont"/>
    <w:rsid w:val="001D3E03"/>
  </w:style>
  <w:style w:type="character" w:customStyle="1" w:styleId="normaltextrun">
    <w:name w:val="normaltextrun"/>
    <w:basedOn w:val="DefaultParagraphFont"/>
    <w:rsid w:val="00BB1B28"/>
  </w:style>
  <w:style w:type="paragraph" w:customStyle="1" w:styleId="paragraph">
    <w:name w:val="paragraph"/>
    <w:basedOn w:val="Normal"/>
    <w:rsid w:val="00BB1B28"/>
    <w:pPr>
      <w:spacing w:before="100" w:beforeAutospacing="1" w:after="100" w:afterAutospacing="1" w:line="240" w:lineRule="auto"/>
    </w:pPr>
    <w:rPr>
      <w:rFonts w:ascii="Times New Roman" w:eastAsia="Times New Roman" w:hAnsi="Times New Roman"/>
      <w:color w:val="auto"/>
      <w:szCs w:val="24"/>
    </w:rPr>
  </w:style>
  <w:style w:type="paragraph" w:customStyle="1" w:styleId="Default">
    <w:name w:val="Default"/>
    <w:rsid w:val="001E04EB"/>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0E00A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www.csiro.au/en/about/facilities-collections/acd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tyles" Target="styles.xml"/><Relationship Id="rId12" Type="http://schemas.openxmlformats.org/officeDocument/2006/relationships/hyperlink" Target="mailto:peter.mohr@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about/policies/child-safe-policy" TargetMode="Externa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yperlink" Target="https://www.csiro.au/en/career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306B5D"/>
    <w:rsid w:val="003974D7"/>
    <w:rsid w:val="003B1B5B"/>
    <w:rsid w:val="003C6F9C"/>
    <w:rsid w:val="00414F94"/>
    <w:rsid w:val="004767E1"/>
    <w:rsid w:val="005A30F3"/>
    <w:rsid w:val="0063685B"/>
    <w:rsid w:val="00770C63"/>
    <w:rsid w:val="007C7613"/>
    <w:rsid w:val="0082379D"/>
    <w:rsid w:val="0083493E"/>
    <w:rsid w:val="00875004"/>
    <w:rsid w:val="009A3B90"/>
    <w:rsid w:val="009C4259"/>
    <w:rsid w:val="00A22B6D"/>
    <w:rsid w:val="00B36C21"/>
    <w:rsid w:val="00C870B1"/>
    <w:rsid w:val="00CF33F0"/>
    <w:rsid w:val="00D06910"/>
    <w:rsid w:val="00E3250F"/>
    <w:rsid w:val="00E458C3"/>
    <w:rsid w:val="00E51523"/>
    <w:rsid w:val="00EA6D03"/>
    <w:rsid w:val="00EC0735"/>
    <w:rsid w:val="00F32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B49FC-8C9F-43EA-B512-2E2950788DB8}">
  <ds:schemaRefs>
    <ds:schemaRef ds:uri="http://schemas.openxmlformats.org/officeDocument/2006/bibliography"/>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74</TotalTime>
  <Pages>6</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15399</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(Organisational Developmen, Lindfield)</cp:lastModifiedBy>
  <cp:revision>24</cp:revision>
  <cp:lastPrinted>2012-02-01T05:32:00Z</cp:lastPrinted>
  <dcterms:created xsi:type="dcterms:W3CDTF">2025-05-23T06:01:00Z</dcterms:created>
  <dcterms:modified xsi:type="dcterms:W3CDTF">2025-06-16T01:42:00Z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