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35B223E" w14:textId="77777777" w:rsidR="00332C06" w:rsidRPr="00674783" w:rsidRDefault="00CC201B" w:rsidP="00EE6C0B">
          <w:pPr>
            <w:pStyle w:val="Heading1"/>
            <w:spacing w:after="0"/>
          </w:pPr>
          <w:r>
            <w:t>Position Details</w:t>
          </w:r>
          <w:bookmarkEnd w:id="0"/>
        </w:p>
        <w:p w14:paraId="7A3D6149" w14:textId="77777777" w:rsidR="006246C0" w:rsidRDefault="00F43284" w:rsidP="00EE6C0B">
          <w:pPr>
            <w:pStyle w:val="Heading2"/>
            <w:spacing w:before="0" w:after="120"/>
          </w:pPr>
          <w:r>
            <w:t>Research Projects</w:t>
          </w:r>
          <w:r w:rsidR="00CC201B">
            <w:t>- CSOF</w:t>
          </w:r>
          <w:r w:rsidR="009B6BDA">
            <w:t>3</w:t>
          </w:r>
        </w:p>
      </w:sdtContent>
    </w:sdt>
    <w:tbl>
      <w:tblPr>
        <w:tblStyle w:val="TableCSIRO"/>
        <w:tblW w:w="10065" w:type="dxa"/>
        <w:tblInd w:w="-142" w:type="dxa"/>
        <w:tblLook w:val="00A0" w:firstRow="1" w:lastRow="0" w:firstColumn="1" w:lastColumn="0" w:noHBand="0" w:noVBand="0"/>
      </w:tblPr>
      <w:tblGrid>
        <w:gridCol w:w="2834"/>
        <w:gridCol w:w="7231"/>
      </w:tblGrid>
      <w:tr w:rsidR="00452FD5" w:rsidRPr="0093721B" w14:paraId="2C11EF78" w14:textId="77777777" w:rsidTr="00EE6C0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FCA39A3" w14:textId="77777777" w:rsidR="00452FD5" w:rsidRPr="0093721B" w:rsidRDefault="00452FD5" w:rsidP="00EE6C0B">
            <w:pPr>
              <w:pStyle w:val="ColumnHeading"/>
              <w:spacing w:before="0" w:line="240" w:lineRule="auto"/>
              <w:rPr>
                <w:sz w:val="22"/>
              </w:rPr>
            </w:pPr>
            <w:r w:rsidRPr="0093721B">
              <w:rPr>
                <w:sz w:val="22"/>
              </w:rPr>
              <w:t>The following information is for applicants</w:t>
            </w:r>
          </w:p>
        </w:tc>
      </w:tr>
      <w:tr w:rsidR="00CC201B" w:rsidRPr="0093721B" w14:paraId="7CE775CE" w14:textId="77777777" w:rsidTr="00EE6C0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471C8C7C" w14:textId="77777777" w:rsidR="00CC201B" w:rsidRPr="0093721B" w:rsidRDefault="00BB763A" w:rsidP="00EE6C0B">
            <w:pPr>
              <w:pStyle w:val="TableText"/>
              <w:spacing w:before="0" w:after="0" w:line="240" w:lineRule="auto"/>
              <w:rPr>
                <w:sz w:val="22"/>
              </w:rPr>
            </w:pPr>
            <w:r w:rsidRPr="0093721B">
              <w:rPr>
                <w:sz w:val="22"/>
              </w:rPr>
              <w:t>Advertised Job Title</w:t>
            </w:r>
          </w:p>
        </w:tc>
        <w:tc>
          <w:tcPr>
            <w:tcW w:w="3592" w:type="pct"/>
            <w:vAlign w:val="center"/>
          </w:tcPr>
          <w:p w14:paraId="2D464C3C" w14:textId="1853DEF4" w:rsidR="00CC201B" w:rsidRPr="0093721B" w:rsidRDefault="00515506" w:rsidP="00EE6C0B">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w:t>
            </w:r>
            <w:r w:rsidR="003F21D8">
              <w:rPr>
                <w:sz w:val="22"/>
              </w:rPr>
              <w:t>Technician</w:t>
            </w:r>
            <w:r>
              <w:rPr>
                <w:sz w:val="22"/>
              </w:rPr>
              <w:t xml:space="preserve"> </w:t>
            </w:r>
            <w:r w:rsidR="00D1140D">
              <w:rPr>
                <w:sz w:val="22"/>
              </w:rPr>
              <w:t>–</w:t>
            </w:r>
            <w:r>
              <w:rPr>
                <w:sz w:val="22"/>
              </w:rPr>
              <w:t xml:space="preserve"> </w:t>
            </w:r>
            <w:r w:rsidR="00BD6098">
              <w:rPr>
                <w:sz w:val="22"/>
              </w:rPr>
              <w:t>Advanced Cell Culture</w:t>
            </w:r>
            <w:r>
              <w:rPr>
                <w:sz w:val="22"/>
              </w:rPr>
              <w:t xml:space="preserve"> </w:t>
            </w:r>
          </w:p>
        </w:tc>
      </w:tr>
      <w:tr w:rsidR="00CC201B" w:rsidRPr="0093721B" w14:paraId="6C0ACB88" w14:textId="77777777" w:rsidTr="00EE6C0B">
        <w:trPr>
          <w:trHeight w:val="337"/>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569F6223" w14:textId="77777777" w:rsidR="00CC201B" w:rsidRPr="0093721B" w:rsidRDefault="00BB763A" w:rsidP="00EE6C0B">
            <w:pPr>
              <w:pStyle w:val="TableText"/>
              <w:spacing w:before="0" w:after="0" w:line="240" w:lineRule="auto"/>
              <w:rPr>
                <w:sz w:val="22"/>
              </w:rPr>
            </w:pPr>
            <w:r w:rsidRPr="0093721B">
              <w:rPr>
                <w:sz w:val="22"/>
              </w:rPr>
              <w:t>Job Reference</w:t>
            </w:r>
          </w:p>
        </w:tc>
        <w:tc>
          <w:tcPr>
            <w:tcW w:w="3592" w:type="pct"/>
            <w:vAlign w:val="center"/>
          </w:tcPr>
          <w:p w14:paraId="3B84ADC2" w14:textId="54986FA0" w:rsidR="00CC201B" w:rsidRPr="0093721B" w:rsidRDefault="00EE6C0B" w:rsidP="00EE6C0B">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80322</w:t>
            </w:r>
          </w:p>
        </w:tc>
      </w:tr>
      <w:tr w:rsidR="00C45886" w:rsidRPr="0093721B" w14:paraId="29921A37" w14:textId="77777777" w:rsidTr="00EE6C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752F1B5C" w14:textId="77777777" w:rsidR="00C45886" w:rsidRPr="0093721B" w:rsidRDefault="00C45886" w:rsidP="00EE6C0B">
            <w:pPr>
              <w:pStyle w:val="TableText"/>
              <w:spacing w:before="0" w:after="0" w:line="240" w:lineRule="auto"/>
              <w:rPr>
                <w:sz w:val="22"/>
              </w:rPr>
            </w:pPr>
            <w:r w:rsidRPr="0093721B">
              <w:rPr>
                <w:sz w:val="22"/>
              </w:rPr>
              <w:t>Tenure</w:t>
            </w:r>
          </w:p>
        </w:tc>
        <w:tc>
          <w:tcPr>
            <w:tcW w:w="3592" w:type="pct"/>
            <w:vAlign w:val="center"/>
          </w:tcPr>
          <w:p w14:paraId="5C0E3EF5" w14:textId="41EF96B9" w:rsidR="00C45886" w:rsidRPr="0093721B" w:rsidRDefault="005379CE" w:rsidP="00EE6C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w:t>
            </w:r>
            <w:r w:rsidR="00EE6C0B">
              <w:rPr>
                <w:sz w:val="22"/>
              </w:rPr>
              <w:t>t</w:t>
            </w:r>
            <w:r w:rsidRPr="0093721B">
              <w:rPr>
                <w:sz w:val="22"/>
              </w:rPr>
              <w:t xml:space="preserve">erm of </w:t>
            </w:r>
            <w:r w:rsidR="002247B7">
              <w:rPr>
                <w:sz w:val="22"/>
              </w:rPr>
              <w:t>6</w:t>
            </w:r>
            <w:r w:rsidRPr="0093721B">
              <w:rPr>
                <w:sz w:val="22"/>
              </w:rPr>
              <w:t xml:space="preserve"> months</w:t>
            </w:r>
            <w:r w:rsidR="00EE6C0B">
              <w:rPr>
                <w:sz w:val="22"/>
              </w:rPr>
              <w:t>, full-time</w:t>
            </w:r>
          </w:p>
        </w:tc>
      </w:tr>
      <w:tr w:rsidR="00C45886" w:rsidRPr="0093721B" w14:paraId="505286F1" w14:textId="77777777" w:rsidTr="00EE6C0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65048852" w14:textId="77777777" w:rsidR="00C45886" w:rsidRPr="0093721B" w:rsidRDefault="00C45886" w:rsidP="00EE6C0B">
            <w:pPr>
              <w:pStyle w:val="TableText"/>
              <w:spacing w:before="0" w:after="0" w:line="240" w:lineRule="auto"/>
              <w:rPr>
                <w:sz w:val="22"/>
              </w:rPr>
            </w:pPr>
            <w:r w:rsidRPr="0093721B">
              <w:rPr>
                <w:sz w:val="22"/>
              </w:rPr>
              <w:t>Salary Range</w:t>
            </w:r>
          </w:p>
        </w:tc>
        <w:tc>
          <w:tcPr>
            <w:tcW w:w="3592" w:type="pct"/>
            <w:vAlign w:val="center"/>
          </w:tcPr>
          <w:p w14:paraId="79EE918B" w14:textId="367DD1F3" w:rsidR="00C45886" w:rsidRPr="0093721B" w:rsidRDefault="005379CE" w:rsidP="00EE6C0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E6C0B">
              <w:rPr>
                <w:sz w:val="22"/>
              </w:rPr>
              <w:t>66k -</w:t>
            </w:r>
            <w:r w:rsidRPr="0093721B">
              <w:rPr>
                <w:sz w:val="22"/>
              </w:rPr>
              <w:t xml:space="preserve"> AU$</w:t>
            </w:r>
            <w:r w:rsidR="00EE6C0B">
              <w:rPr>
                <w:sz w:val="22"/>
              </w:rPr>
              <w:t>84k</w:t>
            </w:r>
            <w:r w:rsidRPr="0093721B">
              <w:rPr>
                <w:sz w:val="22"/>
              </w:rPr>
              <w:t xml:space="preserve"> </w:t>
            </w:r>
            <w:r w:rsidR="00EE6C0B">
              <w:rPr>
                <w:sz w:val="22"/>
              </w:rPr>
              <w:t>per annum,</w:t>
            </w:r>
            <w:r w:rsidRPr="0093721B">
              <w:rPr>
                <w:sz w:val="22"/>
              </w:rPr>
              <w:t xml:space="preserve"> </w:t>
            </w:r>
            <w:r w:rsidR="00EE6C0B">
              <w:rPr>
                <w:sz w:val="22"/>
              </w:rPr>
              <w:t>plus</w:t>
            </w:r>
            <w:r w:rsidRPr="0093721B">
              <w:rPr>
                <w:sz w:val="22"/>
              </w:rPr>
              <w:t xml:space="preserve"> up to 15.4% superannuation</w:t>
            </w:r>
          </w:p>
        </w:tc>
      </w:tr>
      <w:tr w:rsidR="00926BE4" w:rsidRPr="0093721B" w14:paraId="7CCAF42D" w14:textId="77777777" w:rsidTr="00EE6C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090FB8BA" w14:textId="77777777" w:rsidR="00926BE4" w:rsidRPr="0093721B" w:rsidRDefault="00926BE4" w:rsidP="00EE6C0B">
            <w:pPr>
              <w:pStyle w:val="TableText"/>
              <w:spacing w:before="0" w:after="0" w:line="240" w:lineRule="auto"/>
              <w:rPr>
                <w:sz w:val="22"/>
              </w:rPr>
            </w:pPr>
            <w:r w:rsidRPr="0093721B">
              <w:rPr>
                <w:sz w:val="22"/>
              </w:rPr>
              <w:t>Location</w:t>
            </w:r>
            <w:r w:rsidR="00C45886" w:rsidRPr="0093721B">
              <w:rPr>
                <w:sz w:val="22"/>
              </w:rPr>
              <w:t>(s)</w:t>
            </w:r>
          </w:p>
        </w:tc>
        <w:tc>
          <w:tcPr>
            <w:tcW w:w="3592" w:type="pct"/>
            <w:vAlign w:val="center"/>
          </w:tcPr>
          <w:p w14:paraId="3B2E5DA2" w14:textId="5E328643" w:rsidR="00926BE4" w:rsidRPr="0093721B" w:rsidRDefault="002247B7" w:rsidP="00EE6C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EE6C0B">
              <w:rPr>
                <w:sz w:val="22"/>
              </w:rPr>
              <w:t xml:space="preserve"> – Australian Centre for Disease Preparedness (ACDP), Victoria</w:t>
            </w:r>
          </w:p>
        </w:tc>
      </w:tr>
      <w:tr w:rsidR="00926BE4" w:rsidRPr="0093721B" w14:paraId="035AB031" w14:textId="77777777" w:rsidTr="00EE6C0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11066ADF" w14:textId="77777777" w:rsidR="00926BE4" w:rsidRPr="0093721B" w:rsidRDefault="00926BE4" w:rsidP="00EE6C0B">
            <w:pPr>
              <w:pStyle w:val="TableText"/>
              <w:spacing w:before="0" w:after="0" w:line="240" w:lineRule="auto"/>
              <w:rPr>
                <w:sz w:val="22"/>
              </w:rPr>
            </w:pPr>
            <w:r w:rsidRPr="0093721B">
              <w:rPr>
                <w:sz w:val="22"/>
              </w:rPr>
              <w:t>Relocation Assistance</w:t>
            </w:r>
          </w:p>
        </w:tc>
        <w:tc>
          <w:tcPr>
            <w:tcW w:w="3592" w:type="pct"/>
            <w:vAlign w:val="center"/>
          </w:tcPr>
          <w:p w14:paraId="3E3E9EB1" w14:textId="77777777" w:rsidR="00926BE4" w:rsidRPr="0093721B" w:rsidRDefault="00EA62ED" w:rsidP="00EE6C0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5540C0" w14:textId="77777777" w:rsidTr="00EE6C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4925EAA4" w14:textId="77777777" w:rsidR="00926BE4" w:rsidRPr="0093721B" w:rsidRDefault="00926BE4" w:rsidP="00EE6C0B">
            <w:pPr>
              <w:pStyle w:val="TableText"/>
              <w:spacing w:before="0" w:after="0" w:line="240" w:lineRule="auto"/>
              <w:rPr>
                <w:sz w:val="22"/>
              </w:rPr>
            </w:pPr>
            <w:r w:rsidRPr="0093721B">
              <w:rPr>
                <w:sz w:val="22"/>
              </w:rPr>
              <w:t>Applications are open to</w:t>
            </w:r>
          </w:p>
        </w:tc>
        <w:tc>
          <w:tcPr>
            <w:tcW w:w="3592" w:type="pct"/>
            <w:vAlign w:val="center"/>
          </w:tcPr>
          <w:p w14:paraId="03920EFA" w14:textId="5355B060" w:rsidR="00926BE4" w:rsidRPr="0093721B" w:rsidRDefault="00EA62ED" w:rsidP="00EE6C0B">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D80BE4D" w14:textId="77777777" w:rsidTr="00EE6C0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02A1B482" w14:textId="77777777" w:rsidR="00C45886" w:rsidRPr="0093721B" w:rsidRDefault="00C45886" w:rsidP="00EE6C0B">
            <w:pPr>
              <w:pStyle w:val="TableText"/>
              <w:spacing w:before="0" w:after="0" w:line="240" w:lineRule="auto"/>
              <w:rPr>
                <w:sz w:val="22"/>
              </w:rPr>
            </w:pPr>
            <w:r w:rsidRPr="0093721B">
              <w:rPr>
                <w:sz w:val="22"/>
              </w:rPr>
              <w:t>Position reports to the</w:t>
            </w:r>
          </w:p>
        </w:tc>
        <w:tc>
          <w:tcPr>
            <w:tcW w:w="3592" w:type="pct"/>
            <w:vAlign w:val="center"/>
          </w:tcPr>
          <w:p w14:paraId="10969FE5" w14:textId="36F13FC1" w:rsidR="00C45886" w:rsidRPr="0093721B" w:rsidRDefault="006221A3" w:rsidP="00EE6C0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Tissue Culture</w:t>
            </w:r>
            <w:r w:rsidR="00BD6098">
              <w:rPr>
                <w:sz w:val="22"/>
              </w:rPr>
              <w:t xml:space="preserve"> Team Leader</w:t>
            </w:r>
          </w:p>
        </w:tc>
      </w:tr>
      <w:tr w:rsidR="00926BE4" w:rsidRPr="0093721B" w14:paraId="1DCD8D08" w14:textId="77777777" w:rsidTr="00EE6C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4F1183F6" w14:textId="77777777" w:rsidR="00926BE4" w:rsidRPr="0093721B" w:rsidRDefault="00926BE4" w:rsidP="00EE6C0B">
            <w:pPr>
              <w:pStyle w:val="TableText"/>
              <w:spacing w:before="0" w:after="0" w:line="240" w:lineRule="auto"/>
              <w:rPr>
                <w:sz w:val="22"/>
              </w:rPr>
            </w:pPr>
            <w:r w:rsidRPr="0093721B">
              <w:rPr>
                <w:sz w:val="22"/>
              </w:rPr>
              <w:t>Client Focus – Internal</w:t>
            </w:r>
          </w:p>
        </w:tc>
        <w:tc>
          <w:tcPr>
            <w:tcW w:w="3592" w:type="pct"/>
            <w:vAlign w:val="center"/>
          </w:tcPr>
          <w:p w14:paraId="6E005519" w14:textId="7631884C" w:rsidR="00926BE4" w:rsidRPr="007D04FF" w:rsidRDefault="0019168D" w:rsidP="00EE6C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D04FF">
              <w:rPr>
                <w:sz w:val="22"/>
              </w:rPr>
              <w:t>100</w:t>
            </w:r>
            <w:r w:rsidR="00F54F83" w:rsidRPr="007D04FF">
              <w:rPr>
                <w:sz w:val="22"/>
              </w:rPr>
              <w:t>%</w:t>
            </w:r>
          </w:p>
        </w:tc>
      </w:tr>
      <w:tr w:rsidR="00926BE4" w:rsidRPr="0093721B" w14:paraId="2585B4D9" w14:textId="77777777" w:rsidTr="00EE6C0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71A82393" w14:textId="77777777" w:rsidR="00926BE4" w:rsidRPr="0093721B" w:rsidRDefault="00926BE4" w:rsidP="00EE6C0B">
            <w:pPr>
              <w:pStyle w:val="TableText"/>
              <w:spacing w:before="0" w:after="0" w:line="240" w:lineRule="auto"/>
              <w:rPr>
                <w:sz w:val="22"/>
              </w:rPr>
            </w:pPr>
            <w:r w:rsidRPr="0093721B">
              <w:rPr>
                <w:sz w:val="22"/>
              </w:rPr>
              <w:t>Client Focus – External</w:t>
            </w:r>
          </w:p>
        </w:tc>
        <w:tc>
          <w:tcPr>
            <w:tcW w:w="3592" w:type="pct"/>
            <w:vAlign w:val="center"/>
          </w:tcPr>
          <w:p w14:paraId="5A69BD08" w14:textId="77777777" w:rsidR="00926BE4" w:rsidRPr="007D04FF" w:rsidRDefault="00F54F83" w:rsidP="00EE6C0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D04FF">
              <w:rPr>
                <w:sz w:val="22"/>
              </w:rPr>
              <w:t>0%</w:t>
            </w:r>
          </w:p>
        </w:tc>
      </w:tr>
      <w:tr w:rsidR="00194B1C" w:rsidRPr="0093721B" w14:paraId="20A03DE6" w14:textId="77777777" w:rsidTr="00EE6C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1577B39D" w14:textId="77777777" w:rsidR="00194B1C" w:rsidRPr="0093721B" w:rsidRDefault="00C45886" w:rsidP="00EE6C0B">
            <w:pPr>
              <w:pStyle w:val="TableText"/>
              <w:spacing w:before="0" w:after="0" w:line="240" w:lineRule="auto"/>
              <w:rPr>
                <w:sz w:val="22"/>
              </w:rPr>
            </w:pPr>
            <w:r w:rsidRPr="0093721B">
              <w:rPr>
                <w:sz w:val="22"/>
              </w:rPr>
              <w:t>Number of Direct Reports</w:t>
            </w:r>
          </w:p>
        </w:tc>
        <w:tc>
          <w:tcPr>
            <w:tcW w:w="3592" w:type="pct"/>
            <w:vAlign w:val="center"/>
          </w:tcPr>
          <w:p w14:paraId="2C324C27" w14:textId="77777777" w:rsidR="00194B1C" w:rsidRPr="007D04FF" w:rsidRDefault="00F54F83" w:rsidP="00EE6C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D04FF">
              <w:rPr>
                <w:sz w:val="22"/>
              </w:rPr>
              <w:t>0</w:t>
            </w:r>
          </w:p>
        </w:tc>
      </w:tr>
      <w:tr w:rsidR="00194B1C" w:rsidRPr="0093721B" w14:paraId="54CEF60B" w14:textId="77777777" w:rsidTr="00EE6C0B">
        <w:trPr>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3E737034" w14:textId="77777777" w:rsidR="00194B1C" w:rsidRPr="0093721B" w:rsidRDefault="00C45886" w:rsidP="00EE6C0B">
            <w:pPr>
              <w:pStyle w:val="TableText"/>
              <w:spacing w:before="0" w:after="0" w:line="240" w:lineRule="auto"/>
              <w:rPr>
                <w:sz w:val="22"/>
              </w:rPr>
            </w:pPr>
            <w:r w:rsidRPr="0093721B">
              <w:rPr>
                <w:sz w:val="22"/>
              </w:rPr>
              <w:t>Enquire about this job</w:t>
            </w:r>
          </w:p>
        </w:tc>
        <w:tc>
          <w:tcPr>
            <w:tcW w:w="3592" w:type="pct"/>
            <w:vAlign w:val="center"/>
          </w:tcPr>
          <w:p w14:paraId="6DA457F3" w14:textId="5C0A409F" w:rsidR="00194B1C" w:rsidRPr="0093721B" w:rsidRDefault="00EE6C0B" w:rsidP="00EE6C0B">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Email </w:t>
            </w:r>
            <w:hyperlink r:id="rId7" w:history="1">
              <w:r w:rsidRPr="00214CC6">
                <w:rPr>
                  <w:rStyle w:val="Hyperlink"/>
                  <w:sz w:val="22"/>
                </w:rPr>
                <w:t>Nathan.Godde@csiro.au</w:t>
              </w:r>
            </w:hyperlink>
            <w:r>
              <w:rPr>
                <w:sz w:val="22"/>
              </w:rPr>
              <w:t xml:space="preserve"> </w:t>
            </w:r>
            <w:r w:rsidR="00F54F83" w:rsidRPr="007D04FF">
              <w:rPr>
                <w:sz w:val="22"/>
              </w:rPr>
              <w:t xml:space="preserve">or </w:t>
            </w:r>
            <w:r>
              <w:rPr>
                <w:sz w:val="22"/>
              </w:rPr>
              <w:t>telephone 0</w:t>
            </w:r>
            <w:r w:rsidR="007D04FF" w:rsidRPr="007D04FF">
              <w:rPr>
                <w:sz w:val="22"/>
              </w:rPr>
              <w:t>3 5227 5426</w:t>
            </w:r>
          </w:p>
        </w:tc>
      </w:tr>
      <w:tr w:rsidR="00194B1C" w:rsidRPr="0093721B" w14:paraId="21FB5C85" w14:textId="77777777" w:rsidTr="00EE6C0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8" w:type="pct"/>
            <w:vAlign w:val="center"/>
          </w:tcPr>
          <w:p w14:paraId="22C1EC13" w14:textId="77777777" w:rsidR="00194B1C" w:rsidRPr="0093721B" w:rsidRDefault="00C45886" w:rsidP="00EE6C0B">
            <w:pPr>
              <w:pStyle w:val="TableText"/>
              <w:spacing w:before="0" w:after="0" w:line="240" w:lineRule="auto"/>
              <w:rPr>
                <w:sz w:val="22"/>
              </w:rPr>
            </w:pPr>
            <w:r w:rsidRPr="0093721B">
              <w:rPr>
                <w:sz w:val="22"/>
              </w:rPr>
              <w:t>How to apply</w:t>
            </w:r>
          </w:p>
        </w:tc>
        <w:tc>
          <w:tcPr>
            <w:tcW w:w="3592" w:type="pct"/>
            <w:vAlign w:val="center"/>
          </w:tcPr>
          <w:p w14:paraId="048A53D9" w14:textId="77777777" w:rsidR="00F54F83" w:rsidRPr="0093721B" w:rsidRDefault="00F54F83" w:rsidP="00EE6C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9BF4F1F" w14:textId="77777777" w:rsidR="00CB4BEC" w:rsidRPr="0093721B" w:rsidRDefault="00F54F83" w:rsidP="00EE6C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B4B474E" w14:textId="77777777" w:rsidR="00194B1C" w:rsidRPr="0093721B" w:rsidRDefault="00F54F83" w:rsidP="00EE6C0B">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E4E1D15" w14:textId="77777777" w:rsidR="002F0379" w:rsidRDefault="002F0379" w:rsidP="002F0379">
      <w:pPr>
        <w:pStyle w:val="Heading3"/>
        <w:spacing w:after="0"/>
      </w:pPr>
      <w:r>
        <w:t xml:space="preserve">Acknowledgement of Country </w:t>
      </w:r>
    </w:p>
    <w:p w14:paraId="1DBADFA5" w14:textId="66DC78C7" w:rsidR="002F0379" w:rsidRPr="002F0379" w:rsidRDefault="002F0379" w:rsidP="002F0379">
      <w:pPr>
        <w:pStyle w:val="Heading3"/>
        <w:spacing w:after="0"/>
        <w:rPr>
          <w:b w:val="0"/>
          <w:bCs w:val="0"/>
          <w:sz w:val="24"/>
          <w:szCs w:val="24"/>
        </w:rPr>
      </w:pPr>
      <w:r w:rsidRPr="002F0379">
        <w:rPr>
          <w:b w:val="0"/>
          <w:bCs w:val="0"/>
          <w:sz w:val="24"/>
          <w:szCs w:val="24"/>
        </w:rP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0" w:tgtFrame="_blank" w:history="1">
        <w:r w:rsidRPr="002F0379">
          <w:rPr>
            <w:rFonts w:asciiTheme="majorHAnsi" w:hAnsiTheme="majorHAnsi" w:cstheme="majorHAnsi"/>
            <w:b w:val="0"/>
            <w:bCs w:val="0"/>
            <w:iCs/>
            <w:color w:val="0000FF"/>
            <w:sz w:val="24"/>
            <w:szCs w:val="24"/>
            <w:lang w:eastAsia="en-US"/>
          </w:rPr>
          <w:t>vision towards reconciliation</w:t>
        </w:r>
      </w:hyperlink>
      <w:r w:rsidRPr="002F0379">
        <w:rPr>
          <w:rFonts w:asciiTheme="majorHAnsi" w:hAnsiTheme="majorHAnsi" w:cstheme="majorHAnsi"/>
          <w:b w:val="0"/>
          <w:bCs w:val="0"/>
          <w:iCs/>
          <w:color w:val="0000FF"/>
          <w:sz w:val="24"/>
          <w:szCs w:val="24"/>
          <w:lang w:eastAsia="en-US"/>
        </w:rPr>
        <w:t>.</w:t>
      </w:r>
    </w:p>
    <w:p w14:paraId="6DEEC159" w14:textId="14F1DD13" w:rsidR="006246C0" w:rsidRPr="00674783" w:rsidRDefault="00B50C20" w:rsidP="00D06E61">
      <w:pPr>
        <w:pStyle w:val="Heading3"/>
        <w:spacing w:after="0"/>
      </w:pPr>
      <w:r>
        <w:t>Role Overview</w:t>
      </w:r>
    </w:p>
    <w:p w14:paraId="016087A2" w14:textId="0EE087A7" w:rsidR="00D87201" w:rsidRPr="00D87201" w:rsidRDefault="00D87201" w:rsidP="00D87201">
      <w:bookmarkStart w:id="1" w:name="_Toc341085720"/>
      <w:bookmarkStart w:id="2" w:name="_Hlk89358468"/>
      <w:r w:rsidRPr="00D87201">
        <w:t xml:space="preserve">Research Projects staff in CSIRO collaborate </w:t>
      </w:r>
      <w:r w:rsidR="002F0379">
        <w:t>on</w:t>
      </w:r>
      <w:r w:rsidRPr="00D87201">
        <w:t xml:space="preserve"> scientific and technological activities with other research staff usually by assisting with detailed planning, undertaking or assisting with experimental, observational or technology development work, and in carrying out the more practical aspects of the work. </w:t>
      </w:r>
    </w:p>
    <w:p w14:paraId="6E527892" w14:textId="03DC9DCA" w:rsidR="002E4912" w:rsidRDefault="00D87201" w:rsidP="002E4912">
      <w:r w:rsidRPr="00D87201">
        <w:t xml:space="preserve">The Research Technician – Advanced Cell Culture position forms part of the Tissue Culture and Media Production Unit at ACDP and carries-out specialised cell culture and quality control duties.  The position differentiates Stem Cell cultures (ESC and iPSC) into Neural, Cardiomyocyte and </w:t>
      </w:r>
      <w:r w:rsidRPr="00D87201">
        <w:lastRenderedPageBreak/>
        <w:t xml:space="preserve">Pulmonary tissue models, and requires adherence to quality standards in the provision of cell lines for use in ISO17025 certified laboratories.  The Research Technician – Advanced Cell Culture confirms cell differentiation status and monitors host-cell responses within infectious disease experimental models, using </w:t>
      </w:r>
      <w:proofErr w:type="spellStart"/>
      <w:r w:rsidRPr="00D87201">
        <w:t>Incucyte</w:t>
      </w:r>
      <w:proofErr w:type="spellEnd"/>
      <w:r w:rsidRPr="00D87201">
        <w:t xml:space="preserve"> live-cell analysis, confocal microscopy and molecular techniques.</w:t>
      </w:r>
      <w:r w:rsidR="00E11685">
        <w:t xml:space="preserve"> </w:t>
      </w:r>
      <w:bookmarkEnd w:id="2"/>
    </w:p>
    <w:p w14:paraId="31C3DFF4" w14:textId="77777777" w:rsidR="00B50C20" w:rsidRPr="00B50C20" w:rsidRDefault="00B50C20" w:rsidP="00B50C20">
      <w:pPr>
        <w:pStyle w:val="Heading3"/>
      </w:pPr>
      <w:r w:rsidRPr="00B50C20">
        <w:t>Duties and Key Result Areas:</w:t>
      </w:r>
      <w:r w:rsidR="003E5564">
        <w:t xml:space="preserve">  </w:t>
      </w:r>
    </w:p>
    <w:p w14:paraId="25596CFD" w14:textId="7EFFFA0B" w:rsidR="005308B4" w:rsidRPr="00390805" w:rsidRDefault="003F2FED" w:rsidP="00390805">
      <w:pPr>
        <w:pStyle w:val="ListParagraph"/>
        <w:numPr>
          <w:ilvl w:val="0"/>
          <w:numId w:val="29"/>
        </w:numPr>
        <w:spacing w:before="0" w:after="60" w:line="240" w:lineRule="auto"/>
        <w:ind w:left="471" w:hanging="363"/>
        <w:contextualSpacing w:val="0"/>
        <w:rPr>
          <w:szCs w:val="24"/>
        </w:rPr>
      </w:pPr>
      <w:r w:rsidRPr="00390805">
        <w:rPr>
          <w:szCs w:val="24"/>
        </w:rPr>
        <w:t xml:space="preserve">Under the direction of senior research scientists, maintain a </w:t>
      </w:r>
      <w:r w:rsidR="00093823" w:rsidRPr="00390805">
        <w:rPr>
          <w:szCs w:val="24"/>
        </w:rPr>
        <w:t xml:space="preserve">reliable production </w:t>
      </w:r>
      <w:r w:rsidRPr="00390805">
        <w:rPr>
          <w:szCs w:val="24"/>
        </w:rPr>
        <w:t xml:space="preserve">pipeline for the delivery </w:t>
      </w:r>
      <w:r w:rsidR="000A618E" w:rsidRPr="00390805">
        <w:rPr>
          <w:szCs w:val="24"/>
        </w:rPr>
        <w:t xml:space="preserve">of several </w:t>
      </w:r>
      <w:r w:rsidRPr="00390805">
        <w:rPr>
          <w:szCs w:val="24"/>
        </w:rPr>
        <w:t>stem cell derived tissue models for infectious disease research.</w:t>
      </w:r>
    </w:p>
    <w:p w14:paraId="45D6855C" w14:textId="66AEF8D3" w:rsidR="003F2FED" w:rsidRPr="00390805" w:rsidRDefault="00363FD2" w:rsidP="00390805">
      <w:pPr>
        <w:pStyle w:val="ListParagraph"/>
        <w:numPr>
          <w:ilvl w:val="0"/>
          <w:numId w:val="29"/>
        </w:numPr>
        <w:spacing w:before="0" w:after="60" w:line="240" w:lineRule="auto"/>
        <w:ind w:left="471" w:hanging="363"/>
        <w:contextualSpacing w:val="0"/>
        <w:rPr>
          <w:szCs w:val="24"/>
        </w:rPr>
      </w:pPr>
      <w:r w:rsidRPr="00390805">
        <w:rPr>
          <w:szCs w:val="24"/>
        </w:rPr>
        <w:t xml:space="preserve">Work within established quality systems to maintain </w:t>
      </w:r>
      <w:r w:rsidR="00637566" w:rsidRPr="00390805">
        <w:rPr>
          <w:szCs w:val="24"/>
        </w:rPr>
        <w:t>high</w:t>
      </w:r>
      <w:r w:rsidR="001B085A" w:rsidRPr="00390805">
        <w:rPr>
          <w:szCs w:val="24"/>
        </w:rPr>
        <w:t>-</w:t>
      </w:r>
      <w:r w:rsidR="00637566" w:rsidRPr="00390805">
        <w:rPr>
          <w:szCs w:val="24"/>
        </w:rPr>
        <w:t xml:space="preserve">value stocks </w:t>
      </w:r>
      <w:r w:rsidR="001A3229" w:rsidRPr="00390805">
        <w:rPr>
          <w:szCs w:val="24"/>
        </w:rPr>
        <w:t>of</w:t>
      </w:r>
      <w:r w:rsidR="00637566" w:rsidRPr="00390805">
        <w:rPr>
          <w:szCs w:val="24"/>
        </w:rPr>
        <w:t xml:space="preserve"> stem and </w:t>
      </w:r>
      <w:r w:rsidR="00730537" w:rsidRPr="00390805">
        <w:rPr>
          <w:szCs w:val="24"/>
        </w:rPr>
        <w:t xml:space="preserve">tissue-derived </w:t>
      </w:r>
      <w:r w:rsidR="001B085A" w:rsidRPr="00390805">
        <w:rPr>
          <w:szCs w:val="24"/>
        </w:rPr>
        <w:t>cell</w:t>
      </w:r>
      <w:r w:rsidR="00730537" w:rsidRPr="00390805">
        <w:rPr>
          <w:szCs w:val="24"/>
        </w:rPr>
        <w:t>s.</w:t>
      </w:r>
    </w:p>
    <w:p w14:paraId="4C2D3FCD" w14:textId="28DB37D0" w:rsidR="00730537" w:rsidRPr="00390805" w:rsidRDefault="000D4030" w:rsidP="00390805">
      <w:pPr>
        <w:pStyle w:val="ListParagraph"/>
        <w:numPr>
          <w:ilvl w:val="0"/>
          <w:numId w:val="29"/>
        </w:numPr>
        <w:spacing w:before="0" w:after="60" w:line="240" w:lineRule="auto"/>
        <w:ind w:left="471" w:hanging="363"/>
        <w:contextualSpacing w:val="0"/>
        <w:rPr>
          <w:szCs w:val="24"/>
        </w:rPr>
      </w:pPr>
      <w:r w:rsidRPr="00390805">
        <w:rPr>
          <w:szCs w:val="24"/>
        </w:rPr>
        <w:t xml:space="preserve">Ensure appropriate stocks of </w:t>
      </w:r>
      <w:r w:rsidR="00863390" w:rsidRPr="00390805">
        <w:rPr>
          <w:szCs w:val="24"/>
        </w:rPr>
        <w:t xml:space="preserve">stem cell and differentiation reagents are maintained and </w:t>
      </w:r>
      <w:r w:rsidR="00D635C7" w:rsidRPr="00390805">
        <w:rPr>
          <w:szCs w:val="24"/>
        </w:rPr>
        <w:t xml:space="preserve">appropriately </w:t>
      </w:r>
      <w:r w:rsidR="00863390" w:rsidRPr="00390805">
        <w:rPr>
          <w:szCs w:val="24"/>
        </w:rPr>
        <w:t xml:space="preserve">stored. </w:t>
      </w:r>
    </w:p>
    <w:p w14:paraId="67921FEC" w14:textId="2A507F9F" w:rsidR="00863390" w:rsidRPr="00390805" w:rsidRDefault="0047243E" w:rsidP="00390805">
      <w:pPr>
        <w:pStyle w:val="ListParagraph"/>
        <w:numPr>
          <w:ilvl w:val="0"/>
          <w:numId w:val="29"/>
        </w:numPr>
        <w:spacing w:before="0" w:after="60" w:line="240" w:lineRule="auto"/>
        <w:ind w:left="471" w:hanging="363"/>
        <w:contextualSpacing w:val="0"/>
        <w:rPr>
          <w:szCs w:val="24"/>
        </w:rPr>
      </w:pPr>
      <w:r w:rsidRPr="00390805">
        <w:rPr>
          <w:szCs w:val="24"/>
        </w:rPr>
        <w:t>Under technical direction</w:t>
      </w:r>
      <w:r w:rsidR="008B00BE" w:rsidRPr="00390805">
        <w:rPr>
          <w:szCs w:val="24"/>
        </w:rPr>
        <w:t>, perform</w:t>
      </w:r>
      <w:r w:rsidR="00863390" w:rsidRPr="00390805">
        <w:rPr>
          <w:szCs w:val="24"/>
        </w:rPr>
        <w:t xml:space="preserve"> </w:t>
      </w:r>
      <w:r w:rsidR="003C2EDC" w:rsidRPr="00390805">
        <w:rPr>
          <w:szCs w:val="24"/>
        </w:rPr>
        <w:t xml:space="preserve">assays to </w:t>
      </w:r>
      <w:r w:rsidR="004C7B5E" w:rsidRPr="00390805">
        <w:rPr>
          <w:szCs w:val="24"/>
        </w:rPr>
        <w:t xml:space="preserve">monitor </w:t>
      </w:r>
      <w:r w:rsidR="009F684F" w:rsidRPr="00390805">
        <w:rPr>
          <w:szCs w:val="24"/>
        </w:rPr>
        <w:t xml:space="preserve">cell differentiation and </w:t>
      </w:r>
      <w:r w:rsidR="005A70E0">
        <w:rPr>
          <w:szCs w:val="24"/>
        </w:rPr>
        <w:t xml:space="preserve">cell-host </w:t>
      </w:r>
      <w:r w:rsidR="009F684F" w:rsidRPr="00390805">
        <w:rPr>
          <w:szCs w:val="24"/>
        </w:rPr>
        <w:t xml:space="preserve">responses to </w:t>
      </w:r>
      <w:r w:rsidR="005308B4" w:rsidRPr="00390805">
        <w:rPr>
          <w:szCs w:val="24"/>
        </w:rPr>
        <w:t>viral infection and</w:t>
      </w:r>
      <w:r w:rsidR="008B00BE" w:rsidRPr="00390805">
        <w:rPr>
          <w:szCs w:val="24"/>
        </w:rPr>
        <w:t>/or</w:t>
      </w:r>
      <w:r w:rsidR="005308B4" w:rsidRPr="00390805">
        <w:rPr>
          <w:szCs w:val="24"/>
        </w:rPr>
        <w:t xml:space="preserve"> drug treatments.</w:t>
      </w:r>
    </w:p>
    <w:p w14:paraId="45D8AAAB" w14:textId="6ABA4D12" w:rsidR="005925F9" w:rsidRPr="00390805" w:rsidRDefault="00A97333" w:rsidP="00390805">
      <w:pPr>
        <w:pStyle w:val="ListParagraph"/>
        <w:numPr>
          <w:ilvl w:val="0"/>
          <w:numId w:val="23"/>
        </w:numPr>
        <w:spacing w:before="0" w:after="60" w:line="240" w:lineRule="auto"/>
        <w:ind w:left="471" w:hanging="363"/>
        <w:contextualSpacing w:val="0"/>
        <w:rPr>
          <w:szCs w:val="24"/>
        </w:rPr>
      </w:pPr>
      <w:r w:rsidRPr="00390805">
        <w:rPr>
          <w:szCs w:val="24"/>
        </w:rPr>
        <w:t>Complete</w:t>
      </w:r>
      <w:r w:rsidR="0047243E" w:rsidRPr="00390805">
        <w:rPr>
          <w:szCs w:val="24"/>
        </w:rPr>
        <w:t xml:space="preserve"> </w:t>
      </w:r>
      <w:r w:rsidR="005925F9" w:rsidRPr="00390805">
        <w:rPr>
          <w:szCs w:val="24"/>
        </w:rPr>
        <w:t>laboratory analyses using a range of molecular and cellular techniques</w:t>
      </w:r>
      <w:r w:rsidRPr="00390805">
        <w:rPr>
          <w:szCs w:val="24"/>
        </w:rPr>
        <w:t xml:space="preserve"> whilst also </w:t>
      </w:r>
      <w:r w:rsidR="005925F9" w:rsidRPr="00390805">
        <w:rPr>
          <w:szCs w:val="24"/>
        </w:rPr>
        <w:t xml:space="preserve">working on </w:t>
      </w:r>
      <w:proofErr w:type="gramStart"/>
      <w:r w:rsidR="005925F9" w:rsidRPr="00390805">
        <w:rPr>
          <w:szCs w:val="24"/>
        </w:rPr>
        <w:t>a number of</w:t>
      </w:r>
      <w:proofErr w:type="gramEnd"/>
      <w:r w:rsidR="005925F9" w:rsidRPr="00390805">
        <w:rPr>
          <w:szCs w:val="24"/>
        </w:rPr>
        <w:t xml:space="preserve"> parallel and competing tasks. </w:t>
      </w:r>
    </w:p>
    <w:p w14:paraId="5EBB01A9" w14:textId="77777777" w:rsidR="00956501" w:rsidRPr="00390805" w:rsidRDefault="00956501" w:rsidP="00390805">
      <w:pPr>
        <w:pStyle w:val="ListParagraph"/>
        <w:numPr>
          <w:ilvl w:val="0"/>
          <w:numId w:val="23"/>
        </w:numPr>
        <w:spacing w:before="0" w:after="60" w:line="240" w:lineRule="auto"/>
        <w:ind w:left="471" w:hanging="363"/>
        <w:contextualSpacing w:val="0"/>
        <w:rPr>
          <w:szCs w:val="24"/>
        </w:rPr>
      </w:pPr>
      <w:r w:rsidRPr="00390805">
        <w:rPr>
          <w:szCs w:val="24"/>
        </w:rPr>
        <w:t xml:space="preserve">Undertake and complete tasks under technical direction, working with discretion to decide on the timing of operations within the work team’s plan and </w:t>
      </w:r>
      <w:proofErr w:type="gramStart"/>
      <w:r w:rsidRPr="00390805">
        <w:rPr>
          <w:szCs w:val="24"/>
        </w:rPr>
        <w:t>planning ahead</w:t>
      </w:r>
      <w:proofErr w:type="gramEnd"/>
      <w:r w:rsidRPr="00390805">
        <w:rPr>
          <w:szCs w:val="24"/>
        </w:rPr>
        <w:t xml:space="preserve"> to meet experiment and/or project demands. </w:t>
      </w:r>
    </w:p>
    <w:p w14:paraId="79212133" w14:textId="77777777" w:rsidR="009B6BDA" w:rsidRPr="00390805" w:rsidRDefault="009B6BDA" w:rsidP="00390805">
      <w:pPr>
        <w:pStyle w:val="ListParagraph"/>
        <w:numPr>
          <w:ilvl w:val="0"/>
          <w:numId w:val="23"/>
        </w:numPr>
        <w:spacing w:before="0" w:after="60" w:line="240" w:lineRule="auto"/>
        <w:ind w:left="471" w:hanging="363"/>
        <w:contextualSpacing w:val="0"/>
        <w:rPr>
          <w:szCs w:val="24"/>
        </w:rPr>
      </w:pPr>
      <w:r w:rsidRPr="00390805">
        <w:rPr>
          <w:szCs w:val="24"/>
        </w:rPr>
        <w:t>Respond courteously and efficiently to client requests, maintaining clear communication regarding mutual expectations and monitoring client satisfaction.</w:t>
      </w:r>
    </w:p>
    <w:p w14:paraId="347A87CC" w14:textId="6C34377F" w:rsidR="009B6BDA" w:rsidRPr="00390805" w:rsidRDefault="009B6BDA" w:rsidP="00390805">
      <w:pPr>
        <w:pStyle w:val="ListParagraph"/>
        <w:numPr>
          <w:ilvl w:val="0"/>
          <w:numId w:val="23"/>
        </w:numPr>
        <w:spacing w:before="0" w:after="60" w:line="240" w:lineRule="auto"/>
        <w:ind w:left="471" w:hanging="363"/>
        <w:contextualSpacing w:val="0"/>
        <w:rPr>
          <w:szCs w:val="24"/>
        </w:rPr>
      </w:pPr>
      <w:r w:rsidRPr="00390805">
        <w:rPr>
          <w:szCs w:val="24"/>
        </w:rPr>
        <w:t xml:space="preserve">Oversee the activities of less experienced staff and provide guidance on </w:t>
      </w:r>
      <w:r w:rsidR="00C92FF5" w:rsidRPr="00390805">
        <w:rPr>
          <w:szCs w:val="24"/>
        </w:rPr>
        <w:t xml:space="preserve">cell culture </w:t>
      </w:r>
      <w:r w:rsidRPr="00390805">
        <w:rPr>
          <w:szCs w:val="24"/>
        </w:rPr>
        <w:t>techniques and protocols.</w:t>
      </w:r>
    </w:p>
    <w:p w14:paraId="4FBACE4F" w14:textId="126B2C10" w:rsidR="009B6BDA" w:rsidRPr="00390805" w:rsidRDefault="009B6BDA" w:rsidP="00390805">
      <w:pPr>
        <w:pStyle w:val="ListParagraph"/>
        <w:numPr>
          <w:ilvl w:val="0"/>
          <w:numId w:val="23"/>
        </w:numPr>
        <w:spacing w:before="0" w:after="60" w:line="240" w:lineRule="auto"/>
        <w:ind w:left="471" w:hanging="363"/>
        <w:contextualSpacing w:val="0"/>
        <w:rPr>
          <w:szCs w:val="24"/>
        </w:rPr>
      </w:pPr>
      <w:r w:rsidRPr="00390805">
        <w:rPr>
          <w:szCs w:val="24"/>
        </w:rPr>
        <w:t xml:space="preserve">Communicate openly, </w:t>
      </w:r>
      <w:r w:rsidR="0035220F" w:rsidRPr="00390805">
        <w:rPr>
          <w:szCs w:val="24"/>
        </w:rPr>
        <w:t>effectively,</w:t>
      </w:r>
      <w:r w:rsidRPr="00390805">
        <w:rPr>
          <w:szCs w:val="24"/>
        </w:rPr>
        <w:t xml:space="preserve"> and respectfully with staff, clients and suppliers in the interests of good business practice, collaboration and enhancement of CSIRO’s reputation.</w:t>
      </w:r>
    </w:p>
    <w:p w14:paraId="4C8992D3" w14:textId="6380E014" w:rsidR="00C523F3" w:rsidRPr="00390805" w:rsidRDefault="009B6BDA" w:rsidP="00390805">
      <w:pPr>
        <w:pStyle w:val="ListParagraph"/>
        <w:numPr>
          <w:ilvl w:val="0"/>
          <w:numId w:val="23"/>
        </w:numPr>
        <w:spacing w:before="0" w:after="60" w:line="240" w:lineRule="auto"/>
        <w:ind w:left="471" w:hanging="363"/>
        <w:contextualSpacing w:val="0"/>
        <w:rPr>
          <w:szCs w:val="24"/>
        </w:rPr>
      </w:pPr>
      <w:r w:rsidRPr="00390805">
        <w:rPr>
          <w:szCs w:val="24"/>
        </w:rPr>
        <w:t>Work collaboratively as part of a multi-disciplinary research team to carry out tasks in support of CSIRO’s scientific objectives.</w:t>
      </w:r>
    </w:p>
    <w:p w14:paraId="54D29898" w14:textId="1F64D890" w:rsidR="00C523F3" w:rsidRPr="00390805" w:rsidRDefault="00C523F3" w:rsidP="00390805">
      <w:pPr>
        <w:pStyle w:val="ListParagraph"/>
        <w:numPr>
          <w:ilvl w:val="0"/>
          <w:numId w:val="23"/>
        </w:numPr>
        <w:spacing w:before="0" w:after="60" w:line="240" w:lineRule="auto"/>
        <w:ind w:left="471" w:hanging="363"/>
        <w:contextualSpacing w:val="0"/>
        <w:rPr>
          <w:szCs w:val="24"/>
        </w:rPr>
      </w:pPr>
      <w:r w:rsidRPr="00390805">
        <w:rPr>
          <w:szCs w:val="24"/>
        </w:rPr>
        <w:t xml:space="preserve">Adhere to the spirit and practice of CSIRO’s Code of Conduct, Health, Safety and Environment procedures and policy, Diversity initiatives and </w:t>
      </w:r>
      <w:r w:rsidR="00EE6C0B" w:rsidRPr="00390805">
        <w:rPr>
          <w:szCs w:val="24"/>
        </w:rPr>
        <w:t>Zero Harm</w:t>
      </w:r>
      <w:r w:rsidRPr="00390805">
        <w:rPr>
          <w:szCs w:val="24"/>
        </w:rPr>
        <w:t xml:space="preserve"> goals. </w:t>
      </w:r>
    </w:p>
    <w:p w14:paraId="2E34E74C" w14:textId="77777777" w:rsidR="009B6BDA" w:rsidRPr="00390805" w:rsidRDefault="009B6BDA" w:rsidP="00390805">
      <w:pPr>
        <w:pStyle w:val="ListParagraph"/>
        <w:numPr>
          <w:ilvl w:val="0"/>
          <w:numId w:val="23"/>
        </w:numPr>
        <w:spacing w:before="0" w:after="240" w:line="240" w:lineRule="auto"/>
        <w:ind w:left="471" w:hanging="363"/>
        <w:contextualSpacing w:val="0"/>
        <w:rPr>
          <w:szCs w:val="24"/>
        </w:rPr>
      </w:pPr>
      <w:r w:rsidRPr="00390805">
        <w:rPr>
          <w:szCs w:val="24"/>
        </w:rPr>
        <w:t>Other duties as directed.</w:t>
      </w:r>
    </w:p>
    <w:p w14:paraId="70957C7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1D3FB54" w14:textId="77777777" w:rsidR="000B3207" w:rsidRPr="000B3207" w:rsidRDefault="000B3207" w:rsidP="000B3207">
      <w:pPr>
        <w:pStyle w:val="Heading4"/>
      </w:pPr>
      <w:r>
        <w:t>Essential</w:t>
      </w:r>
    </w:p>
    <w:p w14:paraId="2C5D9E2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E8939CD" w14:textId="03C7FFE8" w:rsidR="00EE6E1C" w:rsidRDefault="00390805" w:rsidP="00EE6E1C">
      <w:pPr>
        <w:numPr>
          <w:ilvl w:val="0"/>
          <w:numId w:val="25"/>
        </w:numPr>
        <w:spacing w:before="0" w:after="60" w:line="240" w:lineRule="auto"/>
        <w:rPr>
          <w:rFonts w:cs="Calibri"/>
          <w:szCs w:val="24"/>
        </w:rPr>
      </w:pPr>
      <w:r>
        <w:rPr>
          <w:rFonts w:cs="Calibri"/>
          <w:szCs w:val="24"/>
        </w:rPr>
        <w:t>A r</w:t>
      </w:r>
      <w:r w:rsidR="00B50C20" w:rsidRPr="00B50C20">
        <w:rPr>
          <w:rFonts w:cs="Calibri"/>
          <w:szCs w:val="24"/>
        </w:rPr>
        <w:t xml:space="preserve">elevant bachelor’s degree or equivalent relevant work experience in </w:t>
      </w:r>
      <w:r w:rsidR="00030677">
        <w:rPr>
          <w:rFonts w:cs="Calibri"/>
          <w:szCs w:val="24"/>
        </w:rPr>
        <w:t>biotechnology.</w:t>
      </w:r>
    </w:p>
    <w:p w14:paraId="314CDA84" w14:textId="554CD182" w:rsidR="009C670F" w:rsidRDefault="009C670F" w:rsidP="009C670F">
      <w:pPr>
        <w:numPr>
          <w:ilvl w:val="0"/>
          <w:numId w:val="25"/>
        </w:numPr>
        <w:spacing w:before="0" w:after="60" w:line="240" w:lineRule="auto"/>
        <w:rPr>
          <w:rFonts w:cs="Calibri"/>
          <w:szCs w:val="24"/>
        </w:rPr>
      </w:pPr>
      <w:r>
        <w:rPr>
          <w:rFonts w:cs="Calibri"/>
          <w:szCs w:val="24"/>
        </w:rPr>
        <w:t>Experience working under a laboratory quality system</w:t>
      </w:r>
      <w:r w:rsidR="00074246">
        <w:rPr>
          <w:rFonts w:cs="Calibri"/>
          <w:szCs w:val="24"/>
        </w:rPr>
        <w:t>.</w:t>
      </w:r>
    </w:p>
    <w:p w14:paraId="3FBC6D22" w14:textId="307AA693" w:rsidR="00B50C20" w:rsidRPr="00390805" w:rsidRDefault="00EB68EF" w:rsidP="00D06E61">
      <w:pPr>
        <w:numPr>
          <w:ilvl w:val="0"/>
          <w:numId w:val="25"/>
        </w:numPr>
        <w:spacing w:before="0" w:after="60" w:line="240" w:lineRule="auto"/>
        <w:rPr>
          <w:rStyle w:val="Emphasis"/>
          <w:rFonts w:cs="Arial"/>
          <w:i w:val="0"/>
          <w:szCs w:val="24"/>
        </w:rPr>
      </w:pPr>
      <w:r>
        <w:rPr>
          <w:szCs w:val="24"/>
        </w:rPr>
        <w:t>Demonstrated e</w:t>
      </w:r>
      <w:r w:rsidR="009C670F">
        <w:rPr>
          <w:szCs w:val="24"/>
        </w:rPr>
        <w:t>xperience in the propagation and differentiation of stem cells into multiple lineages</w:t>
      </w:r>
      <w:r w:rsidR="00A35F88">
        <w:rPr>
          <w:szCs w:val="24"/>
        </w:rPr>
        <w:t>.</w:t>
      </w:r>
    </w:p>
    <w:p w14:paraId="7F1BAE28" w14:textId="77777777" w:rsidR="008645EE" w:rsidRDefault="00EB68EF" w:rsidP="008645EE">
      <w:pPr>
        <w:numPr>
          <w:ilvl w:val="0"/>
          <w:numId w:val="25"/>
        </w:numPr>
        <w:spacing w:before="0" w:after="60" w:line="240" w:lineRule="auto"/>
        <w:rPr>
          <w:rFonts w:cs="Calibri"/>
          <w:szCs w:val="24"/>
        </w:rPr>
      </w:pPr>
      <w:r>
        <w:rPr>
          <w:szCs w:val="24"/>
        </w:rPr>
        <w:t>Proven t</w:t>
      </w:r>
      <w:r w:rsidR="006C2354">
        <w:rPr>
          <w:szCs w:val="24"/>
        </w:rPr>
        <w:t>echnical ability to perform immunofluorescent confocal microscopy</w:t>
      </w:r>
      <w:r w:rsidR="00F010E1">
        <w:rPr>
          <w:szCs w:val="24"/>
        </w:rPr>
        <w:t xml:space="preserve">, live cell analysis, immunoblotting and </w:t>
      </w:r>
      <w:r w:rsidR="001328F0">
        <w:rPr>
          <w:szCs w:val="24"/>
        </w:rPr>
        <w:t>biochemical assays</w:t>
      </w:r>
      <w:r w:rsidR="00B50C20" w:rsidRPr="00CD35A2">
        <w:rPr>
          <w:szCs w:val="24"/>
        </w:rPr>
        <w:t>.</w:t>
      </w:r>
      <w:r w:rsidR="008645EE" w:rsidRPr="008645EE">
        <w:rPr>
          <w:rFonts w:cs="Calibri"/>
          <w:szCs w:val="24"/>
        </w:rPr>
        <w:t xml:space="preserve"> </w:t>
      </w:r>
    </w:p>
    <w:p w14:paraId="158521C0" w14:textId="7CA3DE93" w:rsidR="00B50C20" w:rsidRPr="008645EE" w:rsidRDefault="008645EE" w:rsidP="00CD4140">
      <w:pPr>
        <w:numPr>
          <w:ilvl w:val="0"/>
          <w:numId w:val="25"/>
        </w:numPr>
        <w:spacing w:before="0" w:after="60" w:line="240" w:lineRule="auto"/>
        <w:rPr>
          <w:rStyle w:val="Emphasis"/>
          <w:i w:val="0"/>
          <w:iCs/>
          <w:szCs w:val="24"/>
        </w:rPr>
      </w:pPr>
      <w:bookmarkStart w:id="3" w:name="_Hlk89420275"/>
      <w:r w:rsidRPr="008645EE">
        <w:rPr>
          <w:rFonts w:cs="Calibri"/>
          <w:szCs w:val="24"/>
        </w:rPr>
        <w:t>A current Class ‘C’ driver’s licence (or equivalent).</w:t>
      </w:r>
    </w:p>
    <w:bookmarkEnd w:id="3"/>
    <w:p w14:paraId="2F6C85AA" w14:textId="77777777" w:rsidR="00B50C20" w:rsidRPr="00CD35A2" w:rsidRDefault="00B50C20" w:rsidP="00D83C52">
      <w:pPr>
        <w:pStyle w:val="Heading2"/>
        <w:rPr>
          <w:rFonts w:asciiTheme="majorHAnsi" w:eastAsiaTheme="majorEastAsia" w:hAnsiTheme="majorHAnsi" w:cstheme="majorBidi"/>
          <w:b/>
          <w:color w:val="757579" w:themeColor="accent3"/>
          <w:sz w:val="24"/>
          <w:szCs w:val="22"/>
        </w:rPr>
      </w:pPr>
      <w:r w:rsidRPr="00CD35A2">
        <w:rPr>
          <w:rFonts w:asciiTheme="majorHAnsi" w:eastAsiaTheme="majorEastAsia" w:hAnsiTheme="majorHAnsi" w:cstheme="majorBidi"/>
          <w:b/>
          <w:color w:val="757579" w:themeColor="accent3"/>
          <w:sz w:val="24"/>
          <w:szCs w:val="22"/>
        </w:rPr>
        <w:lastRenderedPageBreak/>
        <w:t>Desirable:</w:t>
      </w:r>
    </w:p>
    <w:p w14:paraId="0FD00EDF" w14:textId="67CEDF01" w:rsidR="00E0430F" w:rsidRDefault="00E0430F" w:rsidP="00E0430F">
      <w:pPr>
        <w:numPr>
          <w:ilvl w:val="0"/>
          <w:numId w:val="26"/>
        </w:numPr>
        <w:spacing w:before="0" w:after="60" w:line="240" w:lineRule="auto"/>
        <w:rPr>
          <w:rFonts w:cs="Calibri"/>
          <w:szCs w:val="24"/>
        </w:rPr>
      </w:pPr>
      <w:bookmarkStart w:id="4" w:name="_Hlk89420145"/>
      <w:r>
        <w:rPr>
          <w:rFonts w:cs="Calibri"/>
          <w:szCs w:val="24"/>
        </w:rPr>
        <w:t>R</w:t>
      </w:r>
      <w:r>
        <w:rPr>
          <w:rFonts w:cs="Calibri"/>
          <w:szCs w:val="24"/>
        </w:rPr>
        <w:t xml:space="preserve">esearch activity in cell biology. </w:t>
      </w:r>
    </w:p>
    <w:bookmarkEnd w:id="4"/>
    <w:p w14:paraId="71508619" w14:textId="5FBE26CF" w:rsidR="00B50C20" w:rsidRPr="00CD35A2" w:rsidRDefault="001328F0" w:rsidP="00D06E61">
      <w:pPr>
        <w:numPr>
          <w:ilvl w:val="0"/>
          <w:numId w:val="26"/>
        </w:numPr>
        <w:spacing w:before="0" w:after="60" w:line="240" w:lineRule="auto"/>
        <w:rPr>
          <w:iCs/>
          <w:szCs w:val="24"/>
        </w:rPr>
      </w:pPr>
      <w:r>
        <w:rPr>
          <w:iCs/>
          <w:szCs w:val="24"/>
        </w:rPr>
        <w:t xml:space="preserve">Trained in </w:t>
      </w:r>
      <w:r w:rsidR="00390805">
        <w:rPr>
          <w:iCs/>
          <w:szCs w:val="24"/>
        </w:rPr>
        <w:t xml:space="preserve">the </w:t>
      </w:r>
      <w:r>
        <w:rPr>
          <w:iCs/>
          <w:szCs w:val="24"/>
        </w:rPr>
        <w:t xml:space="preserve">use of </w:t>
      </w:r>
      <w:r w:rsidR="001347DD" w:rsidRPr="001347DD">
        <w:rPr>
          <w:iCs/>
          <w:szCs w:val="24"/>
        </w:rPr>
        <w:t>Quality Management Software</w:t>
      </w:r>
      <w:r w:rsidR="00405615">
        <w:rPr>
          <w:iCs/>
          <w:szCs w:val="24"/>
        </w:rPr>
        <w:t xml:space="preserve"> such as</w:t>
      </w:r>
      <w:r w:rsidR="00405615" w:rsidRPr="00405615">
        <w:rPr>
          <w:iCs/>
          <w:szCs w:val="24"/>
        </w:rPr>
        <w:t xml:space="preserve"> </w:t>
      </w:r>
      <w:r w:rsidR="00405615">
        <w:rPr>
          <w:iCs/>
          <w:szCs w:val="24"/>
        </w:rPr>
        <w:t>Q-Pulse</w:t>
      </w:r>
      <w:r w:rsidR="00390805">
        <w:rPr>
          <w:iCs/>
          <w:szCs w:val="24"/>
        </w:rPr>
        <w:t>.</w:t>
      </w:r>
    </w:p>
    <w:p w14:paraId="393567E4" w14:textId="2EBD9FE7" w:rsidR="00B50C20" w:rsidRDefault="001347DD" w:rsidP="00D06E61">
      <w:pPr>
        <w:numPr>
          <w:ilvl w:val="0"/>
          <w:numId w:val="26"/>
        </w:numPr>
        <w:spacing w:before="0" w:after="60" w:line="240" w:lineRule="auto"/>
        <w:rPr>
          <w:iCs/>
          <w:szCs w:val="24"/>
        </w:rPr>
      </w:pPr>
      <w:r>
        <w:rPr>
          <w:iCs/>
          <w:szCs w:val="24"/>
        </w:rPr>
        <w:t>Experience using ImageJ Image analysis software</w:t>
      </w:r>
      <w:r w:rsidR="00390805">
        <w:rPr>
          <w:iCs/>
          <w:szCs w:val="24"/>
        </w:rPr>
        <w:t>.</w:t>
      </w:r>
    </w:p>
    <w:p w14:paraId="5D74F072" w14:textId="23E9557D" w:rsidR="004E7140" w:rsidRDefault="004E7140" w:rsidP="00D06E61">
      <w:pPr>
        <w:numPr>
          <w:ilvl w:val="0"/>
          <w:numId w:val="26"/>
        </w:numPr>
        <w:spacing w:before="0" w:after="60" w:line="240" w:lineRule="auto"/>
        <w:rPr>
          <w:iCs/>
          <w:szCs w:val="24"/>
        </w:rPr>
      </w:pPr>
      <w:r>
        <w:rPr>
          <w:iCs/>
          <w:szCs w:val="24"/>
        </w:rPr>
        <w:t>Familiarity with infectious disease experimental models</w:t>
      </w:r>
      <w:r w:rsidR="00390805">
        <w:rPr>
          <w:iCs/>
          <w:szCs w:val="24"/>
        </w:rPr>
        <w:t>.</w:t>
      </w:r>
    </w:p>
    <w:p w14:paraId="4BF25FD8" w14:textId="57AD4F07" w:rsidR="00405615" w:rsidRDefault="005239C9" w:rsidP="00D06E61">
      <w:pPr>
        <w:numPr>
          <w:ilvl w:val="0"/>
          <w:numId w:val="26"/>
        </w:numPr>
        <w:spacing w:before="0" w:after="60" w:line="240" w:lineRule="auto"/>
        <w:rPr>
          <w:iCs/>
          <w:szCs w:val="24"/>
        </w:rPr>
      </w:pPr>
      <w:r>
        <w:rPr>
          <w:iCs/>
          <w:szCs w:val="24"/>
        </w:rPr>
        <w:t xml:space="preserve">Experience working with </w:t>
      </w:r>
      <w:r w:rsidR="00B1415B">
        <w:rPr>
          <w:iCs/>
          <w:szCs w:val="24"/>
        </w:rPr>
        <w:t>non-mammalian cell lines</w:t>
      </w:r>
      <w:r w:rsidR="00390805">
        <w:rPr>
          <w:iCs/>
          <w:szCs w:val="24"/>
        </w:rPr>
        <w:t>.</w:t>
      </w:r>
    </w:p>
    <w:p w14:paraId="66A9AB08" w14:textId="06070DE9" w:rsidR="004F115E" w:rsidRPr="00390805" w:rsidRDefault="00561E88" w:rsidP="00D06E61">
      <w:pPr>
        <w:numPr>
          <w:ilvl w:val="0"/>
          <w:numId w:val="26"/>
        </w:numPr>
        <w:spacing w:before="0" w:after="60" w:line="240" w:lineRule="auto"/>
        <w:rPr>
          <w:iCs/>
          <w:szCs w:val="24"/>
        </w:rPr>
      </w:pPr>
      <w:r>
        <w:rPr>
          <w:iCs/>
          <w:szCs w:val="24"/>
        </w:rPr>
        <w:t xml:space="preserve">Skilled </w:t>
      </w:r>
      <w:r w:rsidR="00B27952">
        <w:rPr>
          <w:iCs/>
          <w:szCs w:val="24"/>
        </w:rPr>
        <w:t xml:space="preserve">in handling 3D organotypic </w:t>
      </w:r>
      <w:r w:rsidR="00086E7F">
        <w:rPr>
          <w:iCs/>
          <w:szCs w:val="24"/>
        </w:rPr>
        <w:t>cultures</w:t>
      </w:r>
      <w:r w:rsidR="00390805">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651621D05A3149F18EFA728277E6651F"/>
        </w:placeholder>
        <w15:appearance w15:val="hidden"/>
      </w:sdtPr>
      <w:sdtEndPr>
        <w:rPr>
          <w:rFonts w:ascii="Calibri" w:hAnsi="Calibri" w:cs="Times New Roman"/>
          <w:b w:val="0"/>
          <w:i w:val="0"/>
          <w:sz w:val="22"/>
        </w:rPr>
      </w:sdtEndPr>
      <w:sdtContent>
        <w:p w14:paraId="768AA69E" w14:textId="77777777" w:rsidR="00EE6C0B" w:rsidRPr="00B50C20" w:rsidRDefault="00EE6C0B" w:rsidP="00EE6C0B">
          <w:pPr>
            <w:pStyle w:val="Heading2"/>
            <w:rPr>
              <w:b/>
              <w:iCs w:val="0"/>
              <w:color w:val="auto"/>
              <w:sz w:val="26"/>
              <w:szCs w:val="26"/>
            </w:rPr>
          </w:pPr>
          <w:r w:rsidRPr="00B50C20">
            <w:rPr>
              <w:b/>
              <w:iCs w:val="0"/>
              <w:color w:val="auto"/>
              <w:sz w:val="26"/>
              <w:szCs w:val="26"/>
            </w:rPr>
            <w:t xml:space="preserve">Required Competencies: </w:t>
          </w:r>
        </w:p>
        <w:p w14:paraId="4026FC80" w14:textId="77777777" w:rsidR="00EE6C0B" w:rsidRPr="00B50C20" w:rsidRDefault="00EE6C0B" w:rsidP="00EE6C0B">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Pr>
              <w:szCs w:val="24"/>
            </w:rPr>
            <w:t>Proactively seeks and considers the ideas and opinions of others from within and outside the team to help form decisions, plans or actions.</w:t>
          </w:r>
        </w:p>
        <w:p w14:paraId="32B19324" w14:textId="77777777" w:rsidR="00EE6C0B" w:rsidRPr="00B50C20" w:rsidRDefault="00EE6C0B" w:rsidP="00EE6C0B">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9B6BDA">
            <w:rPr>
              <w:szCs w:val="24"/>
            </w:rPr>
            <w:t>Puts forward ideas by presenting factual information supported by data, definitions, examples, illustrations or other aids, which will assist in conveying meaning.</w:t>
          </w:r>
        </w:p>
        <w:p w14:paraId="6166A158" w14:textId="77777777" w:rsidR="00EE6C0B" w:rsidRPr="00B50C20" w:rsidRDefault="00EE6C0B" w:rsidP="00EE6C0B">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3948A1EF" w14:textId="77777777" w:rsidR="00EE6C0B" w:rsidRPr="00B50C20" w:rsidRDefault="00EE6C0B" w:rsidP="00EE6C0B">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Pr>
              <w:szCs w:val="24"/>
            </w:rPr>
            <w:t>Identifies and considers the implications of a range of available alternatives in order to select the most appropriate response to problems of a familiar or recurring nature.</w:t>
          </w:r>
        </w:p>
        <w:p w14:paraId="3279160E" w14:textId="77777777" w:rsidR="00EE6C0B" w:rsidRPr="00B50C20" w:rsidRDefault="00EE6C0B" w:rsidP="00EE6C0B">
          <w:pPr>
            <w:pStyle w:val="ListParagraph"/>
            <w:numPr>
              <w:ilvl w:val="0"/>
              <w:numId w:val="27"/>
            </w:numPr>
            <w:spacing w:line="240" w:lineRule="auto"/>
            <w:contextualSpacing w:val="0"/>
            <w:rPr>
              <w:b/>
              <w:bCs/>
              <w:i/>
              <w:iCs/>
              <w:szCs w:val="24"/>
            </w:rPr>
          </w:pPr>
          <w:r w:rsidRPr="00B50C20">
            <w:rPr>
              <w:b/>
              <w:szCs w:val="24"/>
            </w:rPr>
            <w:t xml:space="preserve">Independence: </w:t>
          </w:r>
          <w:r w:rsidRPr="009B6BDA">
            <w:rPr>
              <w:szCs w:val="24"/>
            </w:rPr>
            <w:t>Recognise and makes immediate changes to improve performance (faster, better, lower cost, more efficiently, better quality, improved client satisfaction).</w:t>
          </w:r>
        </w:p>
        <w:p w14:paraId="1A766279" w14:textId="7BF74DA2" w:rsidR="00EE6C0B" w:rsidRPr="00EE6C0B" w:rsidRDefault="00EE6C0B" w:rsidP="00EE6C0B">
          <w:pPr>
            <w:pStyle w:val="ListParagraph"/>
            <w:numPr>
              <w:ilvl w:val="0"/>
              <w:numId w:val="27"/>
            </w:numPr>
            <w:rPr>
              <w:bCs/>
              <w:iCs/>
              <w:szCs w:val="24"/>
            </w:rPr>
          </w:pPr>
          <w:r w:rsidRPr="009B6BDA">
            <w:rPr>
              <w:b/>
              <w:szCs w:val="24"/>
            </w:rPr>
            <w:t>Adaptability:</w:t>
          </w:r>
          <w:r w:rsidRPr="009B6BDA">
            <w:rPr>
              <w:b/>
              <w:bCs/>
              <w:i/>
              <w:iCs/>
              <w:szCs w:val="24"/>
            </w:rPr>
            <w:t xml:space="preserve"> </w:t>
          </w:r>
          <w:r w:rsidRPr="009B6BDA">
            <w:rPr>
              <w:bCs/>
              <w:iCs/>
              <w:szCs w:val="24"/>
            </w:rPr>
            <w:t>Willingness to change ideas or perceptions based on new information, contrary evidence or other people's points of view. Prepared to try out different approaches</w:t>
          </w:r>
          <w:r>
            <w:rPr>
              <w:bCs/>
              <w:iCs/>
              <w:szCs w:val="24"/>
            </w:rPr>
            <w:t>.</w:t>
          </w:r>
        </w:p>
      </w:sdtContent>
    </w:sdt>
    <w:bookmarkEnd w:id="1"/>
    <w:p w14:paraId="526D48F8" w14:textId="77777777" w:rsidR="00EE6C0B" w:rsidRDefault="00EE6C0B" w:rsidP="00EE6C0B">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459530BA"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077B3939"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1D4EF788"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797ADC3E"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9602D6E"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 xml:space="preserve">In addition, for a period of seven days after working in the microbiologically secure area of ACDP, personnel may not have close contact with any of the above animals, amphibians or </w:t>
      </w:r>
      <w:r>
        <w:rPr>
          <w:iCs/>
        </w:rPr>
        <w:lastRenderedPageBreak/>
        <w:t xml:space="preserve">birds or the actual places where these animals are </w:t>
      </w:r>
      <w:proofErr w:type="gramStart"/>
      <w:r>
        <w:rPr>
          <w:iCs/>
        </w:rPr>
        <w:t>held, or</w:t>
      </w:r>
      <w:proofErr w:type="gramEnd"/>
      <w:r>
        <w:rPr>
          <w:iCs/>
        </w:rPr>
        <w:t xml:space="preserve"> visit any aquatic animal farm or aquatic animal hatchery.</w:t>
      </w:r>
    </w:p>
    <w:p w14:paraId="79BBDF5A"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37746C6B"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08700DEE"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4DD31AC2"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36B66044"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0D97D7BD"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153C28A2"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3FEF8074" w14:textId="77777777" w:rsidR="00EE6C0B" w:rsidRDefault="00EE6C0B" w:rsidP="00EE6C0B">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3546BB7B" w14:textId="1C4C39D2" w:rsidR="00EE6C0B" w:rsidRDefault="00EE6C0B" w:rsidP="0039080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60"/>
        <w:ind w:left="425" w:right="0" w:hanging="425"/>
        <w:contextualSpacing w:val="0"/>
        <w:rPr>
          <w:iCs/>
        </w:rPr>
      </w:pPr>
      <w:r w:rsidRPr="005B174E">
        <w:rPr>
          <w:iCs/>
        </w:rPr>
        <w:t>1.</w:t>
      </w:r>
      <w:r w:rsidRPr="005B174E">
        <w:rPr>
          <w:iCs/>
        </w:rPr>
        <w:tab/>
      </w:r>
      <w:r w:rsidRPr="00133A4B">
        <w:t>Will be asked to obtain and provide evidence of a National Police Clearance or equivalent. Please note that individuals with criminal records are not automatically deemed ineligible. Each application will be considered on its merits.</w:t>
      </w:r>
    </w:p>
    <w:p w14:paraId="339D3405" w14:textId="66857344" w:rsidR="00390805" w:rsidRDefault="00390805" w:rsidP="0039080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60"/>
        <w:ind w:left="425" w:right="0" w:hanging="425"/>
        <w:contextualSpacing w:val="0"/>
      </w:pPr>
      <w:r>
        <w:rPr>
          <w:iCs/>
        </w:rPr>
        <w:t>2</w:t>
      </w:r>
      <w:r w:rsidRPr="0034030E">
        <w:rPr>
          <w:iCs/>
        </w:rPr>
        <w:t>.</w:t>
      </w:r>
      <w:r w:rsidRPr="0034030E">
        <w:rPr>
          <w:iCs/>
        </w:rPr>
        <w:tab/>
      </w:r>
      <w:r w:rsidRPr="0034030E">
        <w:t>Undertake a National Health Security Check (to be arranged post-commencement).</w:t>
      </w:r>
    </w:p>
    <w:p w14:paraId="621FC56B" w14:textId="3211B77E" w:rsidR="00EE6C0B" w:rsidRPr="005B174E" w:rsidRDefault="00390805" w:rsidP="00390805">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240"/>
        <w:ind w:left="425" w:right="0" w:hanging="425"/>
        <w:contextualSpacing w:val="0"/>
        <w:rPr>
          <w:iCs/>
        </w:rPr>
      </w:pPr>
      <w:r>
        <w:rPr>
          <w:iCs/>
        </w:rPr>
        <w:t>3.</w:t>
      </w:r>
      <w:r>
        <w:rPr>
          <w:iCs/>
        </w:rPr>
        <w:tab/>
      </w:r>
      <w:r w:rsidR="00EE6C0B" w:rsidRPr="005B174E">
        <w:t>Obtain and maintain a security clearance</w:t>
      </w:r>
      <w:r w:rsidR="00EE6C0B">
        <w:t xml:space="preserve"> at the Negative Vetting level 1</w:t>
      </w:r>
      <w:r w:rsidR="00EE6C0B" w:rsidRPr="005B174E">
        <w:t xml:space="preserve"> (to be arranged post-commencement).</w:t>
      </w:r>
    </w:p>
    <w:p w14:paraId="3C74922C" w14:textId="77777777" w:rsidR="00EE6C0B" w:rsidRPr="000B3207" w:rsidRDefault="00EE6C0B" w:rsidP="00EE6C0B">
      <w:pPr>
        <w:pStyle w:val="Heading2"/>
        <w:rPr>
          <w:b/>
          <w:iCs w:val="0"/>
          <w:color w:val="auto"/>
          <w:sz w:val="26"/>
          <w:szCs w:val="26"/>
        </w:rPr>
      </w:pPr>
      <w:r w:rsidRPr="000B3207">
        <w:rPr>
          <w:b/>
          <w:iCs w:val="0"/>
          <w:color w:val="auto"/>
          <w:sz w:val="26"/>
          <w:szCs w:val="26"/>
        </w:rPr>
        <w:t>About CSIRO</w:t>
      </w:r>
    </w:p>
    <w:p w14:paraId="5F187920" w14:textId="77777777" w:rsidR="00EE6C0B" w:rsidRPr="009A655B" w:rsidRDefault="00EE6C0B" w:rsidP="00EE6C0B">
      <w:pPr>
        <w:spacing w:after="240"/>
        <w:rPr>
          <w:u w:val="single"/>
        </w:rPr>
      </w:pPr>
      <w:r>
        <w:t xml:space="preserve">We solve the greatest challenges through innovative science and technology. Visit </w:t>
      </w:r>
      <w:hyperlink r:id="rId11">
        <w:r w:rsidRPr="60631C3C">
          <w:rPr>
            <w:color w:val="757579" w:themeColor="accent3"/>
            <w:u w:val="single"/>
          </w:rPr>
          <w:t>CSIRO Online</w:t>
        </w:r>
      </w:hyperlink>
      <w:r>
        <w:t xml:space="preserve"> and </w:t>
      </w:r>
      <w:hyperlink r:id="rId12">
        <w:r w:rsidRPr="60631C3C">
          <w:rPr>
            <w:rStyle w:val="Hyperlink"/>
          </w:rPr>
          <w:t>Australian Centre for Disease Preparedness</w:t>
        </w:r>
      </w:hyperlink>
      <w:r>
        <w:t xml:space="preserve"> for more information.</w:t>
      </w:r>
    </w:p>
    <w:p w14:paraId="48EBA3FB" w14:textId="77777777" w:rsidR="00EE6C0B" w:rsidRPr="009A655B" w:rsidRDefault="00EE6C0B" w:rsidP="00EE6C0B">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12FEA87B" w14:textId="77777777" w:rsidR="00EE6C0B" w:rsidRPr="009A655B" w:rsidRDefault="00EE6C0B" w:rsidP="00EE6C0B">
      <w:pPr>
        <w:numPr>
          <w:ilvl w:val="0"/>
          <w:numId w:val="34"/>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4E92376C" w14:textId="77777777" w:rsidR="00EE6C0B" w:rsidRPr="009A655B" w:rsidRDefault="00EE6C0B" w:rsidP="00EE6C0B">
      <w:pPr>
        <w:numPr>
          <w:ilvl w:val="0"/>
          <w:numId w:val="34"/>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A6501AD" w14:textId="77777777" w:rsidR="00EE6C0B" w:rsidRPr="009A655B" w:rsidRDefault="00EE6C0B" w:rsidP="00EE6C0B">
      <w:pPr>
        <w:numPr>
          <w:ilvl w:val="0"/>
          <w:numId w:val="34"/>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6FFE22B6" w14:textId="77777777" w:rsidR="00EE6C0B" w:rsidRPr="00526282" w:rsidRDefault="00EE6C0B" w:rsidP="00EE6C0B">
      <w:pPr>
        <w:numPr>
          <w:ilvl w:val="0"/>
          <w:numId w:val="34"/>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EE6C0B" w:rsidRPr="00526282" w:rsidSect="00EE6C0B">
      <w:footerReference w:type="default" r:id="rId13"/>
      <w:headerReference w:type="first" r:id="rId14"/>
      <w:footerReference w:type="first" r:id="rId15"/>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DC99" w14:textId="77777777" w:rsidR="00AC50DE" w:rsidRDefault="00AC50DE" w:rsidP="000A377A">
      <w:r>
        <w:separator/>
      </w:r>
    </w:p>
  </w:endnote>
  <w:endnote w:type="continuationSeparator" w:id="0">
    <w:p w14:paraId="7F21EAD2" w14:textId="77777777" w:rsidR="00AC50DE" w:rsidRDefault="00AC50D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3A2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BF9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6D000" w14:textId="77777777" w:rsidR="00AC50DE" w:rsidRDefault="00AC50DE" w:rsidP="000A377A">
      <w:r>
        <w:separator/>
      </w:r>
    </w:p>
  </w:footnote>
  <w:footnote w:type="continuationSeparator" w:id="0">
    <w:p w14:paraId="78234157" w14:textId="77777777" w:rsidR="00AC50DE" w:rsidRDefault="00AC50D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E3FE" w14:textId="77777777" w:rsidR="009511DD" w:rsidRPr="00EE6C0B" w:rsidRDefault="00ED212D" w:rsidP="00EE6C0B">
    <w:pPr>
      <w:spacing w:before="0" w:after="0" w:line="240" w:lineRule="auto"/>
      <w:rPr>
        <w:sz w:val="2"/>
        <w:szCs w:val="2"/>
      </w:rPr>
    </w:pPr>
    <w:r w:rsidRPr="00EE6C0B">
      <w:rPr>
        <w:noProof/>
        <w:sz w:val="2"/>
        <w:szCs w:val="2"/>
      </w:rPr>
      <w:drawing>
        <wp:anchor distT="0" distB="71755" distL="114300" distR="360045" simplePos="0" relativeHeight="251661824" behindDoc="1" locked="1" layoutInCell="1" allowOverlap="1" wp14:anchorId="3C3A3677" wp14:editId="41650F57">
          <wp:simplePos x="0" y="0"/>
          <wp:positionH relativeFrom="margin">
            <wp:align>left</wp:align>
          </wp:positionH>
          <wp:positionV relativeFrom="page">
            <wp:posOffset>1001395</wp:posOffset>
          </wp:positionV>
          <wp:extent cx="791210" cy="791845"/>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FB6"/>
    <w:rsid w:val="00012B21"/>
    <w:rsid w:val="00014F95"/>
    <w:rsid w:val="00015AC3"/>
    <w:rsid w:val="00015D9B"/>
    <w:rsid w:val="000166E8"/>
    <w:rsid w:val="000175CC"/>
    <w:rsid w:val="00020528"/>
    <w:rsid w:val="00020EB5"/>
    <w:rsid w:val="00024E64"/>
    <w:rsid w:val="00025950"/>
    <w:rsid w:val="00025A1E"/>
    <w:rsid w:val="00027644"/>
    <w:rsid w:val="000278EE"/>
    <w:rsid w:val="00030677"/>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246"/>
    <w:rsid w:val="000749CD"/>
    <w:rsid w:val="00076353"/>
    <w:rsid w:val="0007694B"/>
    <w:rsid w:val="000779AB"/>
    <w:rsid w:val="00081B2C"/>
    <w:rsid w:val="00081CF2"/>
    <w:rsid w:val="00083CF8"/>
    <w:rsid w:val="00084221"/>
    <w:rsid w:val="00086367"/>
    <w:rsid w:val="00086909"/>
    <w:rsid w:val="00086E7F"/>
    <w:rsid w:val="0008787E"/>
    <w:rsid w:val="00090401"/>
    <w:rsid w:val="00090408"/>
    <w:rsid w:val="0009057F"/>
    <w:rsid w:val="00090F62"/>
    <w:rsid w:val="00091815"/>
    <w:rsid w:val="000923F3"/>
    <w:rsid w:val="00093823"/>
    <w:rsid w:val="000963A6"/>
    <w:rsid w:val="00097D05"/>
    <w:rsid w:val="000A0722"/>
    <w:rsid w:val="000A1762"/>
    <w:rsid w:val="000A296F"/>
    <w:rsid w:val="000A377A"/>
    <w:rsid w:val="000A59F9"/>
    <w:rsid w:val="000A618E"/>
    <w:rsid w:val="000A6A79"/>
    <w:rsid w:val="000A79FB"/>
    <w:rsid w:val="000B19E5"/>
    <w:rsid w:val="000B3142"/>
    <w:rsid w:val="000B3207"/>
    <w:rsid w:val="000B3D47"/>
    <w:rsid w:val="000B56E0"/>
    <w:rsid w:val="000B5DA3"/>
    <w:rsid w:val="000C12C8"/>
    <w:rsid w:val="000C1AA1"/>
    <w:rsid w:val="000C5CED"/>
    <w:rsid w:val="000C67C8"/>
    <w:rsid w:val="000C6AC9"/>
    <w:rsid w:val="000D2475"/>
    <w:rsid w:val="000D30EA"/>
    <w:rsid w:val="000D4030"/>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C49"/>
    <w:rsid w:val="00105FA3"/>
    <w:rsid w:val="00113293"/>
    <w:rsid w:val="00113683"/>
    <w:rsid w:val="001209C7"/>
    <w:rsid w:val="00121F11"/>
    <w:rsid w:val="0012253C"/>
    <w:rsid w:val="0012309D"/>
    <w:rsid w:val="00123D73"/>
    <w:rsid w:val="001263A4"/>
    <w:rsid w:val="00127211"/>
    <w:rsid w:val="00127354"/>
    <w:rsid w:val="00127506"/>
    <w:rsid w:val="00130267"/>
    <w:rsid w:val="00132839"/>
    <w:rsid w:val="001328F0"/>
    <w:rsid w:val="001347D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14A6"/>
    <w:rsid w:val="0019168D"/>
    <w:rsid w:val="00192012"/>
    <w:rsid w:val="00194B1C"/>
    <w:rsid w:val="00194B38"/>
    <w:rsid w:val="00195215"/>
    <w:rsid w:val="00196123"/>
    <w:rsid w:val="00197545"/>
    <w:rsid w:val="001975E9"/>
    <w:rsid w:val="00197C7D"/>
    <w:rsid w:val="001A0844"/>
    <w:rsid w:val="001A0F1B"/>
    <w:rsid w:val="001A294D"/>
    <w:rsid w:val="001A29BC"/>
    <w:rsid w:val="001A3229"/>
    <w:rsid w:val="001A3A76"/>
    <w:rsid w:val="001A3B34"/>
    <w:rsid w:val="001A50F7"/>
    <w:rsid w:val="001A6585"/>
    <w:rsid w:val="001B085A"/>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3C1"/>
    <w:rsid w:val="00215BF0"/>
    <w:rsid w:val="00220541"/>
    <w:rsid w:val="00221772"/>
    <w:rsid w:val="00223A3E"/>
    <w:rsid w:val="002247B7"/>
    <w:rsid w:val="00225A4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0A8D"/>
    <w:rsid w:val="002E0C90"/>
    <w:rsid w:val="002E1686"/>
    <w:rsid w:val="002E4912"/>
    <w:rsid w:val="002E7993"/>
    <w:rsid w:val="002E7F4C"/>
    <w:rsid w:val="002F0379"/>
    <w:rsid w:val="002F1011"/>
    <w:rsid w:val="002F11DD"/>
    <w:rsid w:val="002F5428"/>
    <w:rsid w:val="002F5A1D"/>
    <w:rsid w:val="00300022"/>
    <w:rsid w:val="003000AF"/>
    <w:rsid w:val="00301857"/>
    <w:rsid w:val="00301D22"/>
    <w:rsid w:val="00302A74"/>
    <w:rsid w:val="00302E16"/>
    <w:rsid w:val="003034EE"/>
    <w:rsid w:val="00304225"/>
    <w:rsid w:val="00305F35"/>
    <w:rsid w:val="003122F0"/>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69C0"/>
    <w:rsid w:val="003514BE"/>
    <w:rsid w:val="003521F2"/>
    <w:rsid w:val="0035220F"/>
    <w:rsid w:val="00353D50"/>
    <w:rsid w:val="00354BF5"/>
    <w:rsid w:val="0035576A"/>
    <w:rsid w:val="003575F9"/>
    <w:rsid w:val="003604DB"/>
    <w:rsid w:val="00360D14"/>
    <w:rsid w:val="003622F8"/>
    <w:rsid w:val="0036272C"/>
    <w:rsid w:val="00363FD2"/>
    <w:rsid w:val="003642BB"/>
    <w:rsid w:val="0036735C"/>
    <w:rsid w:val="00367FDF"/>
    <w:rsid w:val="00370541"/>
    <w:rsid w:val="003714C1"/>
    <w:rsid w:val="003716AB"/>
    <w:rsid w:val="00371F46"/>
    <w:rsid w:val="00374FD6"/>
    <w:rsid w:val="003767F1"/>
    <w:rsid w:val="00381022"/>
    <w:rsid w:val="00382F2C"/>
    <w:rsid w:val="00385E2A"/>
    <w:rsid w:val="00386101"/>
    <w:rsid w:val="003869CE"/>
    <w:rsid w:val="003872C8"/>
    <w:rsid w:val="0038738D"/>
    <w:rsid w:val="00390805"/>
    <w:rsid w:val="00393B6B"/>
    <w:rsid w:val="0039402F"/>
    <w:rsid w:val="00394D78"/>
    <w:rsid w:val="003953FF"/>
    <w:rsid w:val="003965B1"/>
    <w:rsid w:val="003A18FD"/>
    <w:rsid w:val="003A26BC"/>
    <w:rsid w:val="003A4B8B"/>
    <w:rsid w:val="003A51F7"/>
    <w:rsid w:val="003A6DBB"/>
    <w:rsid w:val="003A6DE0"/>
    <w:rsid w:val="003B1EF4"/>
    <w:rsid w:val="003B3947"/>
    <w:rsid w:val="003B5F19"/>
    <w:rsid w:val="003B7D95"/>
    <w:rsid w:val="003C0168"/>
    <w:rsid w:val="003C2EDC"/>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1D8"/>
    <w:rsid w:val="003F2288"/>
    <w:rsid w:val="003F2FED"/>
    <w:rsid w:val="003F3915"/>
    <w:rsid w:val="00403B6B"/>
    <w:rsid w:val="00404222"/>
    <w:rsid w:val="00405065"/>
    <w:rsid w:val="004051FA"/>
    <w:rsid w:val="00405227"/>
    <w:rsid w:val="00405615"/>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243E"/>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C7B5E"/>
    <w:rsid w:val="004D1978"/>
    <w:rsid w:val="004D3607"/>
    <w:rsid w:val="004D36F6"/>
    <w:rsid w:val="004D6B52"/>
    <w:rsid w:val="004E0034"/>
    <w:rsid w:val="004E0997"/>
    <w:rsid w:val="004E2B16"/>
    <w:rsid w:val="004E369B"/>
    <w:rsid w:val="004E43B4"/>
    <w:rsid w:val="004E61C2"/>
    <w:rsid w:val="004E7140"/>
    <w:rsid w:val="004E7737"/>
    <w:rsid w:val="004F115E"/>
    <w:rsid w:val="004F4CAC"/>
    <w:rsid w:val="004F4FCE"/>
    <w:rsid w:val="004F7E09"/>
    <w:rsid w:val="005021C3"/>
    <w:rsid w:val="00502916"/>
    <w:rsid w:val="00503F57"/>
    <w:rsid w:val="005055C0"/>
    <w:rsid w:val="0051507C"/>
    <w:rsid w:val="00515506"/>
    <w:rsid w:val="0051554D"/>
    <w:rsid w:val="005213AD"/>
    <w:rsid w:val="005236C1"/>
    <w:rsid w:val="005239C9"/>
    <w:rsid w:val="005241D0"/>
    <w:rsid w:val="005308B4"/>
    <w:rsid w:val="00530B96"/>
    <w:rsid w:val="0053240A"/>
    <w:rsid w:val="00533166"/>
    <w:rsid w:val="00534B7C"/>
    <w:rsid w:val="00534E19"/>
    <w:rsid w:val="005379CE"/>
    <w:rsid w:val="00541415"/>
    <w:rsid w:val="00541E53"/>
    <w:rsid w:val="00542FBC"/>
    <w:rsid w:val="005434FA"/>
    <w:rsid w:val="00543630"/>
    <w:rsid w:val="005442FF"/>
    <w:rsid w:val="00545C15"/>
    <w:rsid w:val="00545FB2"/>
    <w:rsid w:val="0054638A"/>
    <w:rsid w:val="00546725"/>
    <w:rsid w:val="005521E3"/>
    <w:rsid w:val="00555030"/>
    <w:rsid w:val="00555296"/>
    <w:rsid w:val="00555AB3"/>
    <w:rsid w:val="0056178B"/>
    <w:rsid w:val="00561E88"/>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5F9"/>
    <w:rsid w:val="0059267B"/>
    <w:rsid w:val="005937C8"/>
    <w:rsid w:val="0059758D"/>
    <w:rsid w:val="005A0890"/>
    <w:rsid w:val="005A1024"/>
    <w:rsid w:val="005A42A4"/>
    <w:rsid w:val="005A5659"/>
    <w:rsid w:val="005A5AEE"/>
    <w:rsid w:val="005A5B21"/>
    <w:rsid w:val="005A60D8"/>
    <w:rsid w:val="005A70E0"/>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8D6"/>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21A3"/>
    <w:rsid w:val="006246C0"/>
    <w:rsid w:val="0062521D"/>
    <w:rsid w:val="0062799E"/>
    <w:rsid w:val="0063480C"/>
    <w:rsid w:val="00637566"/>
    <w:rsid w:val="006409FE"/>
    <w:rsid w:val="006422CC"/>
    <w:rsid w:val="006441CE"/>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354"/>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537"/>
    <w:rsid w:val="00730C24"/>
    <w:rsid w:val="0073103A"/>
    <w:rsid w:val="0073117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C8"/>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2A2"/>
    <w:rsid w:val="00783370"/>
    <w:rsid w:val="007849CB"/>
    <w:rsid w:val="00786D64"/>
    <w:rsid w:val="00792235"/>
    <w:rsid w:val="007931D1"/>
    <w:rsid w:val="007937A6"/>
    <w:rsid w:val="00793F43"/>
    <w:rsid w:val="0079514E"/>
    <w:rsid w:val="007970B5"/>
    <w:rsid w:val="007A1F94"/>
    <w:rsid w:val="007A21B1"/>
    <w:rsid w:val="007A53D3"/>
    <w:rsid w:val="007A6F4B"/>
    <w:rsid w:val="007A71AC"/>
    <w:rsid w:val="007A7722"/>
    <w:rsid w:val="007A7762"/>
    <w:rsid w:val="007A7809"/>
    <w:rsid w:val="007B0775"/>
    <w:rsid w:val="007B1387"/>
    <w:rsid w:val="007B4D3D"/>
    <w:rsid w:val="007B4E02"/>
    <w:rsid w:val="007B5B17"/>
    <w:rsid w:val="007B67BE"/>
    <w:rsid w:val="007C0CBA"/>
    <w:rsid w:val="007C1CAB"/>
    <w:rsid w:val="007C59B3"/>
    <w:rsid w:val="007C78AC"/>
    <w:rsid w:val="007D04FF"/>
    <w:rsid w:val="007D0EDA"/>
    <w:rsid w:val="007D1151"/>
    <w:rsid w:val="007D12BD"/>
    <w:rsid w:val="007D21B7"/>
    <w:rsid w:val="007D2BE3"/>
    <w:rsid w:val="007D5A24"/>
    <w:rsid w:val="007D5A60"/>
    <w:rsid w:val="007E296E"/>
    <w:rsid w:val="007E4772"/>
    <w:rsid w:val="007F13F4"/>
    <w:rsid w:val="007F1969"/>
    <w:rsid w:val="007F29D2"/>
    <w:rsid w:val="007F3DFD"/>
    <w:rsid w:val="007F3F0C"/>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3390"/>
    <w:rsid w:val="008645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00BE"/>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1BB"/>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1CEA"/>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6501"/>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322C"/>
    <w:rsid w:val="009941CC"/>
    <w:rsid w:val="009949E1"/>
    <w:rsid w:val="00994F08"/>
    <w:rsid w:val="00995465"/>
    <w:rsid w:val="00997AEF"/>
    <w:rsid w:val="00997D69"/>
    <w:rsid w:val="009A2FB9"/>
    <w:rsid w:val="009A4E4C"/>
    <w:rsid w:val="009A776E"/>
    <w:rsid w:val="009B20AA"/>
    <w:rsid w:val="009B22AB"/>
    <w:rsid w:val="009B2E5B"/>
    <w:rsid w:val="009B3321"/>
    <w:rsid w:val="009B5345"/>
    <w:rsid w:val="009B568A"/>
    <w:rsid w:val="009B6329"/>
    <w:rsid w:val="009B6BDA"/>
    <w:rsid w:val="009B7BD8"/>
    <w:rsid w:val="009C1A8A"/>
    <w:rsid w:val="009C4369"/>
    <w:rsid w:val="009C5520"/>
    <w:rsid w:val="009C670F"/>
    <w:rsid w:val="009D0DFC"/>
    <w:rsid w:val="009D7766"/>
    <w:rsid w:val="009E132B"/>
    <w:rsid w:val="009E1D19"/>
    <w:rsid w:val="009E217D"/>
    <w:rsid w:val="009F2CD0"/>
    <w:rsid w:val="009F3167"/>
    <w:rsid w:val="009F5CB4"/>
    <w:rsid w:val="009F684F"/>
    <w:rsid w:val="009F685F"/>
    <w:rsid w:val="009F6D23"/>
    <w:rsid w:val="009F705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F88"/>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33"/>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0DE"/>
    <w:rsid w:val="00AC6E5E"/>
    <w:rsid w:val="00AC7857"/>
    <w:rsid w:val="00AC7E2D"/>
    <w:rsid w:val="00AD038B"/>
    <w:rsid w:val="00AD2C68"/>
    <w:rsid w:val="00AD38F3"/>
    <w:rsid w:val="00AD3B98"/>
    <w:rsid w:val="00AD5CAE"/>
    <w:rsid w:val="00AD6B50"/>
    <w:rsid w:val="00AD6F25"/>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15B"/>
    <w:rsid w:val="00B15DEE"/>
    <w:rsid w:val="00B163DD"/>
    <w:rsid w:val="00B21284"/>
    <w:rsid w:val="00B21C6F"/>
    <w:rsid w:val="00B22471"/>
    <w:rsid w:val="00B22BF6"/>
    <w:rsid w:val="00B238B2"/>
    <w:rsid w:val="00B23B8F"/>
    <w:rsid w:val="00B27952"/>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098"/>
    <w:rsid w:val="00BD6EE2"/>
    <w:rsid w:val="00BD768B"/>
    <w:rsid w:val="00BD7C8D"/>
    <w:rsid w:val="00BD7E41"/>
    <w:rsid w:val="00BE0CE3"/>
    <w:rsid w:val="00BE24DC"/>
    <w:rsid w:val="00BE3760"/>
    <w:rsid w:val="00BE3D33"/>
    <w:rsid w:val="00BE70C6"/>
    <w:rsid w:val="00BE7249"/>
    <w:rsid w:val="00BE7C5A"/>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598"/>
    <w:rsid w:val="00C83DFF"/>
    <w:rsid w:val="00C8578A"/>
    <w:rsid w:val="00C859EC"/>
    <w:rsid w:val="00C86E28"/>
    <w:rsid w:val="00C904DA"/>
    <w:rsid w:val="00C90FDA"/>
    <w:rsid w:val="00C921D5"/>
    <w:rsid w:val="00C92FF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5A2"/>
    <w:rsid w:val="00CD55BF"/>
    <w:rsid w:val="00CD6197"/>
    <w:rsid w:val="00CE2717"/>
    <w:rsid w:val="00CE4BE8"/>
    <w:rsid w:val="00CE4C0F"/>
    <w:rsid w:val="00CE58A3"/>
    <w:rsid w:val="00CE5D73"/>
    <w:rsid w:val="00CE6341"/>
    <w:rsid w:val="00CE75BB"/>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40D"/>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35C7"/>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201"/>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38FD"/>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30F"/>
    <w:rsid w:val="00E050CE"/>
    <w:rsid w:val="00E10CE7"/>
    <w:rsid w:val="00E11685"/>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06BE"/>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8EF"/>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C0B"/>
    <w:rsid w:val="00EE6E1C"/>
    <w:rsid w:val="00EE6E87"/>
    <w:rsid w:val="00EE75A4"/>
    <w:rsid w:val="00EF461A"/>
    <w:rsid w:val="00EF5B1A"/>
    <w:rsid w:val="00F010E1"/>
    <w:rsid w:val="00F010F6"/>
    <w:rsid w:val="00F0161A"/>
    <w:rsid w:val="00F031C2"/>
    <w:rsid w:val="00F04B29"/>
    <w:rsid w:val="00F04CE7"/>
    <w:rsid w:val="00F058A1"/>
    <w:rsid w:val="00F05D9B"/>
    <w:rsid w:val="00F07016"/>
    <w:rsid w:val="00F10915"/>
    <w:rsid w:val="00F10F3D"/>
    <w:rsid w:val="00F13329"/>
    <w:rsid w:val="00F13876"/>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0B0"/>
    <w:rsid w:val="00FE11E1"/>
    <w:rsid w:val="00FE1279"/>
    <w:rsid w:val="00FE2745"/>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5BF5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han.Godde@csiro.au" TargetMode="External"/><Relationship Id="rId12" Type="http://schemas.openxmlformats.org/officeDocument/2006/relationships/hyperlink" Target="https://www.csiro.au/en/about/facilities-collections/acdp"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51621D05A3149F18EFA728277E6651F"/>
        <w:category>
          <w:name w:val="General"/>
          <w:gallery w:val="placeholder"/>
        </w:category>
        <w:types>
          <w:type w:val="bbPlcHdr"/>
        </w:types>
        <w:behaviors>
          <w:behavior w:val="content"/>
        </w:behaviors>
        <w:guid w:val="{1590A883-F088-4C1D-96D6-F016FC5FC9C7}"/>
      </w:docPartPr>
      <w:docPartBody>
        <w:p w:rsidR="006014B8" w:rsidRDefault="00BA6886" w:rsidP="00BA6886">
          <w:pPr>
            <w:pStyle w:val="651621D05A3149F18EFA728277E6651F"/>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9056E"/>
    <w:rsid w:val="003C6F9C"/>
    <w:rsid w:val="00414F94"/>
    <w:rsid w:val="00576D61"/>
    <w:rsid w:val="006014B8"/>
    <w:rsid w:val="0063685B"/>
    <w:rsid w:val="007C7613"/>
    <w:rsid w:val="0082379D"/>
    <w:rsid w:val="0083493E"/>
    <w:rsid w:val="00875004"/>
    <w:rsid w:val="00B36C21"/>
    <w:rsid w:val="00BA6886"/>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886"/>
    <w:rPr>
      <w:color w:val="808080"/>
    </w:rPr>
  </w:style>
  <w:style w:type="paragraph" w:customStyle="1" w:styleId="651621D05A3149F18EFA728277E6651F">
    <w:name w:val="651621D05A3149F18EFA728277E6651F"/>
    <w:rsid w:val="00BA6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109</TotalTime>
  <Pages>4</Pages>
  <Words>1372</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7</cp:revision>
  <cp:lastPrinted>2012-02-01T05:32:00Z</cp:lastPrinted>
  <dcterms:created xsi:type="dcterms:W3CDTF">2021-12-02T09:44:00Z</dcterms:created>
  <dcterms:modified xsi:type="dcterms:W3CDTF">2021-12-03T05:41:00Z</dcterms:modified>
</cp:coreProperties>
</file>