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0E2875AC" w:rsidR="00CC201B" w:rsidRPr="0093721B" w:rsidRDefault="001B28EB"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R+ </w:t>
            </w:r>
            <w:r>
              <w:rPr>
                <w:sz w:val="22"/>
              </w:rPr>
              <w:t>CSIRO</w:t>
            </w:r>
            <w:r w:rsidRPr="002F3653">
              <w:rPr>
                <w:sz w:val="22"/>
              </w:rPr>
              <w:t xml:space="preserve"> </w:t>
            </w:r>
            <w:r>
              <w:rPr>
                <w:sz w:val="22"/>
              </w:rPr>
              <w:t xml:space="preserve">Postdoctoral </w:t>
            </w:r>
            <w:r w:rsidRPr="002F3653">
              <w:rPr>
                <w:sz w:val="22"/>
              </w:rPr>
              <w:t>Fellowship in</w:t>
            </w:r>
            <w:r>
              <w:rPr>
                <w:sz w:val="22"/>
              </w:rPr>
              <w:t xml:space="preserve"> Bioelectronic Interfaces - the Next Frontier for Medical Devices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1DF403B4" w:rsidR="00CC201B" w:rsidRPr="0093721B" w:rsidRDefault="004B684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79698</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D79A77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2F1A6FA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5D6C815B" w:rsidR="00926BE4" w:rsidRPr="0093721B" w:rsidRDefault="005B1246" w:rsidP="00C97F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Victoria</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71E3FC72" w:rsidR="0006388B" w:rsidRPr="00935C37" w:rsidRDefault="00460824" w:rsidP="00935C37">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424CA37E" w:rsidR="00C45886" w:rsidRPr="0093721B" w:rsidRDefault="005B124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07233365" w:rsidR="00926BE4" w:rsidRPr="0093721B" w:rsidRDefault="00F6581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F54F83" w:rsidRPr="005B1246">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6C776089" w:rsidR="00926BE4" w:rsidRPr="0093721B" w:rsidRDefault="00F6581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w:t>
            </w:r>
            <w:r w:rsidR="00F54F83" w:rsidRPr="005B1246">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B1246">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145E592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B1246">
              <w:rPr>
                <w:sz w:val="22"/>
              </w:rPr>
              <w:t xml:space="preserve">Contact </w:t>
            </w:r>
            <w:r w:rsidR="005B1246" w:rsidRPr="005B1246">
              <w:rPr>
                <w:sz w:val="22"/>
              </w:rPr>
              <w:t>Helmut Thissen</w:t>
            </w:r>
            <w:r w:rsidRPr="005B1246">
              <w:rPr>
                <w:sz w:val="22"/>
              </w:rPr>
              <w:t xml:space="preserve"> via email at </w:t>
            </w:r>
            <w:r w:rsidR="005B1246" w:rsidRPr="005B1246">
              <w:rPr>
                <w:sz w:val="22"/>
              </w:rPr>
              <w:t>helmut</w:t>
            </w:r>
            <w:r w:rsidRPr="005B1246">
              <w:rPr>
                <w:sz w:val="22"/>
              </w:rPr>
              <w:t>.</w:t>
            </w:r>
            <w:r w:rsidR="005B1246" w:rsidRPr="005B1246">
              <w:rPr>
                <w:sz w:val="22"/>
              </w:rPr>
              <w:t>thissen</w:t>
            </w:r>
            <w:r w:rsidRPr="005B1246">
              <w:rPr>
                <w:sz w:val="22"/>
              </w:rPr>
              <w:t xml:space="preserve">@csiro.au or phone +61 </w:t>
            </w:r>
            <w:r w:rsidR="005B1246" w:rsidRPr="005B1246">
              <w:rPr>
                <w:sz w:val="22"/>
              </w:rPr>
              <w:t>3</w:t>
            </w:r>
            <w:r w:rsidRPr="005B1246">
              <w:rPr>
                <w:sz w:val="22"/>
              </w:rPr>
              <w:t xml:space="preserve"> </w:t>
            </w:r>
            <w:r w:rsidR="005B1246" w:rsidRPr="005B1246">
              <w:rPr>
                <w:sz w:val="22"/>
              </w:rPr>
              <w:t>9545 2191</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CAD8BD4"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58C45E17" w14:textId="6F76B84A" w:rsidR="00A6434B" w:rsidRDefault="00A6434B" w:rsidP="00A6434B">
      <w:pPr>
        <w:pStyle w:val="BodyText"/>
      </w:pPr>
      <w:r>
        <w:t>Medical devices have contributed significantly to extending life expectancy and to improving the quality of life. At this point in time though, most of the existing devices have reached maturity in the sense that they cannot be improved much further. However, their ability to communicate with the human body remains in its infancy. It is at the interface between next generation medical devices and biology where the most significant advances in the field are expected over the next 20 years.</w:t>
      </w:r>
    </w:p>
    <w:p w14:paraId="5750CCC0" w14:textId="5410DAA6" w:rsidR="00A6434B" w:rsidRDefault="00A6434B" w:rsidP="00A6434B">
      <w:pPr>
        <w:pStyle w:val="BodyText"/>
      </w:pPr>
      <w:r>
        <w:t xml:space="preserve">Building on the world class capability and infrastructure available to the research team assembled for this project, an exceptionally supportive research environment, an established network of academic and industry collaborators, </w:t>
      </w:r>
      <w:r w:rsidR="001E2916">
        <w:t xml:space="preserve">and </w:t>
      </w:r>
      <w:r>
        <w:t xml:space="preserve">an outstanding track record related to the field of </w:t>
      </w:r>
      <w:r w:rsidR="00373814">
        <w:t>biomedical devices</w:t>
      </w:r>
      <w:r>
        <w:t>, the CERC Fellow will have an opportunity to make significant contributions to the field of bioelectronic interfaces and emerge as a recognised leader in th</w:t>
      </w:r>
      <w:r w:rsidR="00241786">
        <w:t xml:space="preserve">is </w:t>
      </w:r>
      <w:r w:rsidR="007C4909">
        <w:t>area</w:t>
      </w:r>
      <w:r>
        <w:t>.</w:t>
      </w:r>
    </w:p>
    <w:p w14:paraId="11DE9FD0" w14:textId="71C60092" w:rsidR="00A6434B" w:rsidRDefault="00A6434B" w:rsidP="00A6434B">
      <w:pPr>
        <w:pStyle w:val="BodyText"/>
      </w:pPr>
      <w:r>
        <w:t xml:space="preserve">The </w:t>
      </w:r>
      <w:r w:rsidR="00CD081D">
        <w:t>CERC F</w:t>
      </w:r>
      <w:r>
        <w:t xml:space="preserve">ellow will answer several </w:t>
      </w:r>
      <w:r w:rsidR="00CD081D">
        <w:t xml:space="preserve">key </w:t>
      </w:r>
      <w:r>
        <w:t xml:space="preserve">scientific questions </w:t>
      </w:r>
      <w:r w:rsidR="00CD081D">
        <w:t xml:space="preserve">related to </w:t>
      </w:r>
      <w:r w:rsidR="00B04813" w:rsidRPr="00B04813">
        <w:t xml:space="preserve">bioelectronic interfaces </w:t>
      </w:r>
      <w:r>
        <w:t xml:space="preserve">and develop </w:t>
      </w:r>
      <w:r w:rsidR="00CD081D">
        <w:t>novel</w:t>
      </w:r>
      <w:r>
        <w:t xml:space="preserve"> platform </w:t>
      </w:r>
      <w:r w:rsidR="00CD081D">
        <w:t>technologies</w:t>
      </w:r>
      <w:r>
        <w:t>. These include establishing a comprehensive understanding of host-</w:t>
      </w:r>
      <w:r w:rsidR="00CD081D">
        <w:t xml:space="preserve">electrode </w:t>
      </w:r>
      <w:r>
        <w:t xml:space="preserve">interactions, </w:t>
      </w:r>
      <w:r w:rsidR="00CD081D">
        <w:t xml:space="preserve">the </w:t>
      </w:r>
      <w:r>
        <w:t>synthesis</w:t>
      </w:r>
      <w:r w:rsidR="00CD081D">
        <w:t xml:space="preserve"> of</w:t>
      </w:r>
      <w:r>
        <w:t xml:space="preserve"> polymers </w:t>
      </w:r>
      <w:r w:rsidR="00CD081D">
        <w:t xml:space="preserve">suitable for the control of interfacial interactions, the application of coatings and the release of drugs modulating the biological response. Moreover, the CERC Fellow will evaluate the ability to achieve effective bioelectronic sensing and stimulation </w:t>
      </w:r>
      <w:r>
        <w:t>over a clinically meaningful time frame</w:t>
      </w:r>
      <w:r w:rsidR="00CD081D">
        <w:t xml:space="preserve"> in suitable </w:t>
      </w:r>
      <w:r w:rsidR="00CD081D" w:rsidRPr="00CD081D">
        <w:rPr>
          <w:i/>
          <w:iCs/>
        </w:rPr>
        <w:t>in vitro</w:t>
      </w:r>
      <w:r w:rsidR="00CD081D">
        <w:t xml:space="preserve"> and </w:t>
      </w:r>
      <w:r w:rsidR="00CD081D" w:rsidRPr="00CD081D">
        <w:rPr>
          <w:i/>
          <w:iCs/>
        </w:rPr>
        <w:t>in vivo</w:t>
      </w:r>
      <w:r w:rsidR="00CD081D">
        <w:t xml:space="preserve"> models.</w:t>
      </w:r>
    </w:p>
    <w:p w14:paraId="11667EEC" w14:textId="29AC414A" w:rsidR="003E5564" w:rsidRPr="00D254CE" w:rsidRDefault="003E5564" w:rsidP="003E5564">
      <w:pPr>
        <w:pStyle w:val="BodyText"/>
        <w:rPr>
          <w:highlight w:val="green"/>
        </w:rPr>
      </w:pPr>
    </w:p>
    <w:p w14:paraId="241FE752" w14:textId="77777777" w:rsidR="00B50C20" w:rsidRPr="00B50C20" w:rsidRDefault="00B50C20" w:rsidP="00B50C20">
      <w:pPr>
        <w:pStyle w:val="Heading3"/>
      </w:pPr>
      <w:r w:rsidRPr="00B50C20">
        <w:t>Duties and Key Result Areas:</w:t>
      </w:r>
      <w:r w:rsidR="003E5564">
        <w:t xml:space="preserve">  </w:t>
      </w:r>
    </w:p>
    <w:p w14:paraId="001261E1" w14:textId="249818BB"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CF60E0">
        <w:rPr>
          <w:szCs w:val="24"/>
        </w:rPr>
        <w:t xml:space="preserve">the </w:t>
      </w:r>
      <w:r w:rsidRPr="00780FD0">
        <w:rPr>
          <w:szCs w:val="24"/>
        </w:rPr>
        <w:t>CERC Fellow</w:t>
      </w:r>
      <w:r w:rsidR="00CF60E0">
        <w:rPr>
          <w:szCs w:val="24"/>
        </w:rPr>
        <w:t xml:space="preserve"> will</w:t>
      </w:r>
      <w:r w:rsidRPr="00780FD0">
        <w:rPr>
          <w:szCs w:val="24"/>
        </w:rPr>
        <w:t>:</w:t>
      </w:r>
    </w:p>
    <w:p w14:paraId="0D8EC224" w14:textId="77777777" w:rsidR="00CF60E0" w:rsidRPr="00CF60E0" w:rsidRDefault="00CF60E0" w:rsidP="00CF60E0">
      <w:pPr>
        <w:pStyle w:val="ListParagraph"/>
        <w:numPr>
          <w:ilvl w:val="1"/>
          <w:numId w:val="34"/>
        </w:numPr>
        <w:spacing w:after="60" w:line="240" w:lineRule="auto"/>
        <w:ind w:left="360"/>
        <w:contextualSpacing w:val="0"/>
        <w:rPr>
          <w:color w:val="auto"/>
          <w:szCs w:val="24"/>
        </w:rPr>
      </w:pPr>
      <w:r w:rsidRPr="00CF60E0">
        <w:rPr>
          <w:color w:val="auto"/>
          <w:szCs w:val="24"/>
        </w:rPr>
        <w:t>Development of novel electrode materials and coatings that can achieve improved bioelectronic sensing or stimulation</w:t>
      </w:r>
    </w:p>
    <w:p w14:paraId="38BA87C4" w14:textId="77777777" w:rsidR="00CF60E0" w:rsidRPr="00CF60E0" w:rsidRDefault="00CF60E0" w:rsidP="00CF60E0">
      <w:pPr>
        <w:pStyle w:val="ListParagraph"/>
        <w:numPr>
          <w:ilvl w:val="1"/>
          <w:numId w:val="34"/>
        </w:numPr>
        <w:spacing w:after="60" w:line="240" w:lineRule="auto"/>
        <w:ind w:left="360"/>
        <w:contextualSpacing w:val="0"/>
        <w:rPr>
          <w:color w:val="auto"/>
          <w:szCs w:val="24"/>
        </w:rPr>
      </w:pPr>
      <w:r w:rsidRPr="00CF60E0">
        <w:rPr>
          <w:color w:val="auto"/>
          <w:szCs w:val="24"/>
        </w:rPr>
        <w:t>Evaluation of the biological response to bioelectronic interfaces in vitro and in vivo</w:t>
      </w:r>
    </w:p>
    <w:p w14:paraId="3E9E012D" w14:textId="79C23D52" w:rsidR="00CF60E0" w:rsidRPr="00CF60E0" w:rsidRDefault="00CF60E0" w:rsidP="00CF60E0">
      <w:pPr>
        <w:pStyle w:val="ListParagraph"/>
        <w:numPr>
          <w:ilvl w:val="1"/>
          <w:numId w:val="34"/>
        </w:numPr>
        <w:spacing w:after="60" w:line="240" w:lineRule="auto"/>
        <w:ind w:left="360"/>
        <w:contextualSpacing w:val="0"/>
        <w:rPr>
          <w:color w:val="auto"/>
          <w:szCs w:val="24"/>
        </w:rPr>
      </w:pPr>
      <w:r w:rsidRPr="00CF60E0">
        <w:rPr>
          <w:color w:val="auto"/>
          <w:szCs w:val="24"/>
        </w:rPr>
        <w:lastRenderedPageBreak/>
        <w:t>Communicating effectively with a highly interdisciplinary team and with external partners</w:t>
      </w:r>
    </w:p>
    <w:p w14:paraId="3AB8C27C" w14:textId="2042D2CF" w:rsidR="001E2916" w:rsidRPr="00D17D9F" w:rsidRDefault="001E2916" w:rsidP="001E2916">
      <w:pPr>
        <w:pStyle w:val="ListParagraph"/>
        <w:numPr>
          <w:ilvl w:val="1"/>
          <w:numId w:val="34"/>
        </w:numPr>
        <w:spacing w:after="60" w:line="240" w:lineRule="auto"/>
        <w:ind w:left="360"/>
        <w:contextualSpacing w:val="0"/>
        <w:rPr>
          <w:color w:val="auto"/>
          <w:szCs w:val="24"/>
        </w:rPr>
      </w:pPr>
      <w:r w:rsidRPr="00D17D9F">
        <w:rPr>
          <w:color w:val="auto"/>
          <w:szCs w:val="24"/>
        </w:rPr>
        <w:t xml:space="preserve">Undertake regular reviews of </w:t>
      </w:r>
      <w:r w:rsidR="00D17D9F" w:rsidRPr="00D17D9F">
        <w:rPr>
          <w:color w:val="auto"/>
          <w:szCs w:val="24"/>
        </w:rPr>
        <w:t xml:space="preserve">the </w:t>
      </w:r>
      <w:r w:rsidRPr="00D17D9F">
        <w:rPr>
          <w:color w:val="auto"/>
          <w:szCs w:val="24"/>
        </w:rPr>
        <w:t xml:space="preserve">relevant literature and patents. </w:t>
      </w:r>
    </w:p>
    <w:p w14:paraId="5D09E31D" w14:textId="77777777" w:rsidR="001E2916" w:rsidRPr="00D17D9F" w:rsidRDefault="001E2916" w:rsidP="001E2916">
      <w:pPr>
        <w:pStyle w:val="ListParagraph"/>
        <w:numPr>
          <w:ilvl w:val="1"/>
          <w:numId w:val="34"/>
        </w:numPr>
        <w:spacing w:after="60" w:line="240" w:lineRule="auto"/>
        <w:ind w:left="360"/>
        <w:contextualSpacing w:val="0"/>
        <w:rPr>
          <w:color w:val="auto"/>
          <w:szCs w:val="24"/>
        </w:rPr>
      </w:pPr>
      <w:r w:rsidRPr="00D17D9F">
        <w:rPr>
          <w:color w:val="auto"/>
          <w:szCs w:val="24"/>
        </w:rPr>
        <w:t>Produce high quality scientific reports suitable for publication in quality journals, for client reports and patent applications.</w:t>
      </w:r>
    </w:p>
    <w:p w14:paraId="5F5AC818" w14:textId="7DABA8D2" w:rsidR="001E2916" w:rsidRPr="00D17D9F" w:rsidRDefault="001E2916" w:rsidP="001E2916">
      <w:pPr>
        <w:pStyle w:val="ListParagraph"/>
        <w:numPr>
          <w:ilvl w:val="1"/>
          <w:numId w:val="34"/>
        </w:numPr>
        <w:spacing w:after="60" w:line="240" w:lineRule="auto"/>
        <w:ind w:left="360"/>
        <w:contextualSpacing w:val="0"/>
        <w:rPr>
          <w:color w:val="auto"/>
          <w:szCs w:val="24"/>
        </w:rPr>
      </w:pPr>
      <w:r w:rsidRPr="00D17D9F">
        <w:rPr>
          <w:color w:val="auto"/>
          <w:szCs w:val="24"/>
        </w:rPr>
        <w:t xml:space="preserve">Prepare high quality presentations and present these at internal meetings, conferences and meetings with </w:t>
      </w:r>
      <w:r w:rsidR="00D17D9F" w:rsidRPr="00D17D9F">
        <w:rPr>
          <w:color w:val="auto"/>
          <w:szCs w:val="24"/>
        </w:rPr>
        <w:t>external partners</w:t>
      </w:r>
      <w:r w:rsidRPr="00D17D9F">
        <w:rPr>
          <w:color w:val="auto"/>
          <w:szCs w:val="24"/>
        </w:rPr>
        <w:t xml:space="preserve">. </w:t>
      </w:r>
    </w:p>
    <w:p w14:paraId="38BB2486" w14:textId="27882CD9" w:rsidR="001E2916" w:rsidRPr="00D17D9F" w:rsidRDefault="001E2916" w:rsidP="001E2916">
      <w:pPr>
        <w:pStyle w:val="ListParagraph"/>
        <w:numPr>
          <w:ilvl w:val="1"/>
          <w:numId w:val="34"/>
        </w:numPr>
        <w:spacing w:after="60" w:line="240" w:lineRule="auto"/>
        <w:ind w:left="360"/>
        <w:contextualSpacing w:val="0"/>
        <w:rPr>
          <w:color w:val="auto"/>
          <w:szCs w:val="24"/>
        </w:rPr>
      </w:pPr>
      <w:r w:rsidRPr="00D17D9F">
        <w:rPr>
          <w:color w:val="auto"/>
          <w:szCs w:val="24"/>
        </w:rPr>
        <w:t>Work collaboratively with colleagues across CSIRO</w:t>
      </w:r>
      <w:r w:rsidR="00D17D9F" w:rsidRPr="00D17D9F">
        <w:rPr>
          <w:color w:val="auto"/>
          <w:szCs w:val="24"/>
        </w:rPr>
        <w:t xml:space="preserve"> as well as partner organisations</w:t>
      </w:r>
      <w:r w:rsidRPr="00D17D9F">
        <w:rPr>
          <w:color w:val="auto"/>
          <w:szCs w:val="24"/>
        </w:rPr>
        <w: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353EC79D"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4B6846">
        <w:rPr>
          <w:rFonts w:asciiTheme="minorHAnsi" w:hAnsiTheme="minorHAnsi" w:cstheme="minorHAnsi"/>
          <w:szCs w:val="24"/>
        </w:rPr>
        <w:t>.</w:t>
      </w:r>
    </w:p>
    <w:p w14:paraId="35593D19" w14:textId="447CA6DB"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sidR="004B6846">
        <w:rPr>
          <w:rFonts w:asciiTheme="minorHAnsi" w:hAnsiTheme="minorHAnsi" w:cstheme="minorHAnsi"/>
          <w:szCs w:val="24"/>
        </w:rPr>
        <w:t>.</w:t>
      </w:r>
    </w:p>
    <w:p w14:paraId="3B89A6B9" w14:textId="7D19EAB5"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sidR="004B6846">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47AE8A79"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D17D9F" w:rsidRPr="00D17D9F">
        <w:rPr>
          <w:rFonts w:asciiTheme="minorHAnsi" w:hAnsiTheme="minorHAnsi" w:cstheme="minorHAnsi"/>
          <w:szCs w:val="24"/>
        </w:rPr>
        <w:t>Chemistry, Materials Science, Biomedical Science or related disciplines</w:t>
      </w:r>
      <w:r w:rsidR="00D17D9F">
        <w:rPr>
          <w:rFonts w:asciiTheme="minorHAnsi" w:hAnsiTheme="minorHAnsi" w:cstheme="minorHAnsi"/>
          <w:szCs w:val="24"/>
        </w:rPr>
        <w:t>.</w:t>
      </w:r>
    </w:p>
    <w:p w14:paraId="662EF4E5" w14:textId="54875CFE" w:rsidR="005C2DA3" w:rsidRPr="00FF0874" w:rsidRDefault="005C2DA3" w:rsidP="005C2DA3">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7D44D6">
        <w:rPr>
          <w:rFonts w:asciiTheme="minorHAnsi" w:hAnsiTheme="minorHAnsi" w:cstheme="minorHAnsi"/>
          <w:szCs w:val="24"/>
        </w:rPr>
        <w:t>full</w:t>
      </w:r>
      <w:r w:rsidR="00677F4E">
        <w:rPr>
          <w:rFonts w:asciiTheme="minorHAnsi" w:hAnsiTheme="minorHAnsi" w:cstheme="minorHAnsi"/>
          <w:szCs w:val="24"/>
        </w:rPr>
        <w:t>-</w:t>
      </w:r>
      <w:r w:rsidRPr="00FF0874">
        <w:rPr>
          <w:rFonts w:asciiTheme="minorHAnsi" w:hAnsiTheme="minorHAnsi" w:cstheme="minorHAnsi"/>
          <w:szCs w:val="24"/>
        </w:rPr>
        <w:t xml:space="preserve">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bookmarkEnd w:id="3"/>
    <w:p w14:paraId="64818338" w14:textId="49340795" w:rsidR="001852F8" w:rsidRPr="002F71DC" w:rsidRDefault="001852F8" w:rsidP="001852F8">
      <w:pPr>
        <w:numPr>
          <w:ilvl w:val="0"/>
          <w:numId w:val="25"/>
        </w:numPr>
        <w:spacing w:before="0" w:after="60" w:line="240" w:lineRule="auto"/>
        <w:rPr>
          <w:rFonts w:cs="Calibri"/>
          <w:color w:val="auto"/>
          <w:szCs w:val="24"/>
        </w:rPr>
      </w:pPr>
      <w:r w:rsidRPr="002F71DC">
        <w:rPr>
          <w:rFonts w:cs="Calibri"/>
          <w:color w:val="auto"/>
          <w:szCs w:val="24"/>
        </w:rPr>
        <w:t xml:space="preserve">Demonstrated experience in </w:t>
      </w:r>
      <w:r w:rsidR="00246E5A" w:rsidRPr="002F71DC">
        <w:rPr>
          <w:rFonts w:cs="Calibri"/>
          <w:color w:val="auto"/>
          <w:szCs w:val="24"/>
        </w:rPr>
        <w:t>biomaterials and biomedical devices</w:t>
      </w:r>
      <w:r w:rsidRPr="002F71DC">
        <w:rPr>
          <w:rFonts w:cs="Calibri"/>
          <w:color w:val="auto"/>
          <w:szCs w:val="24"/>
        </w:rPr>
        <w:t>.</w:t>
      </w:r>
    </w:p>
    <w:p w14:paraId="668067DD" w14:textId="77777777" w:rsidR="00176355" w:rsidRPr="002F71DC" w:rsidRDefault="00176355" w:rsidP="00176355">
      <w:pPr>
        <w:numPr>
          <w:ilvl w:val="0"/>
          <w:numId w:val="25"/>
        </w:numPr>
        <w:spacing w:before="0" w:after="60" w:line="240" w:lineRule="auto"/>
        <w:rPr>
          <w:rFonts w:cs="Calibri"/>
          <w:color w:val="auto"/>
          <w:szCs w:val="24"/>
        </w:rPr>
      </w:pPr>
      <w:bookmarkStart w:id="4" w:name="_Hlk88075466"/>
      <w:r w:rsidRPr="002F71DC">
        <w:rPr>
          <w:rFonts w:cs="Calibri"/>
          <w:color w:val="auto"/>
          <w:szCs w:val="24"/>
        </w:rPr>
        <w:t>Demonstrated experience in surface modification and analysis.</w:t>
      </w:r>
    </w:p>
    <w:bookmarkEnd w:id="4"/>
    <w:p w14:paraId="0545259D" w14:textId="77777777" w:rsidR="00093D65" w:rsidRPr="002F71DC" w:rsidRDefault="00093D65" w:rsidP="00093D65">
      <w:pPr>
        <w:numPr>
          <w:ilvl w:val="0"/>
          <w:numId w:val="25"/>
        </w:numPr>
        <w:spacing w:before="0" w:after="60" w:line="240" w:lineRule="auto"/>
        <w:rPr>
          <w:rFonts w:cs="Calibri"/>
          <w:color w:val="auto"/>
          <w:szCs w:val="24"/>
        </w:rPr>
      </w:pPr>
      <w:r w:rsidRPr="002F71DC">
        <w:rPr>
          <w:rFonts w:cs="Calibri"/>
          <w:color w:val="auto"/>
          <w:szCs w:val="24"/>
        </w:rPr>
        <w:t>Demonstrated experience in electrode materials used for sensing or stimulation.</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DF2084D" w14:textId="77777777" w:rsidR="00093D65" w:rsidRPr="002F71DC" w:rsidRDefault="00093D65" w:rsidP="00093D65">
      <w:pPr>
        <w:numPr>
          <w:ilvl w:val="0"/>
          <w:numId w:val="26"/>
        </w:numPr>
        <w:spacing w:before="0" w:after="60" w:line="240" w:lineRule="auto"/>
        <w:rPr>
          <w:rFonts w:cs="Calibri"/>
          <w:color w:val="auto"/>
          <w:szCs w:val="24"/>
        </w:rPr>
      </w:pPr>
      <w:r w:rsidRPr="002F71DC">
        <w:rPr>
          <w:rFonts w:cs="Calibri"/>
          <w:color w:val="auto"/>
          <w:szCs w:val="24"/>
        </w:rPr>
        <w:t>Demonstrated experience in organic and polymer chemistry.</w:t>
      </w:r>
    </w:p>
    <w:p w14:paraId="4E0FF9B1" w14:textId="77777777" w:rsidR="00AC0D66" w:rsidRPr="003C727B" w:rsidRDefault="00AC0D66" w:rsidP="00AC0D66">
      <w:pPr>
        <w:numPr>
          <w:ilvl w:val="0"/>
          <w:numId w:val="26"/>
        </w:numPr>
        <w:spacing w:before="0" w:after="60" w:line="240" w:lineRule="auto"/>
        <w:rPr>
          <w:rFonts w:cs="Calibri"/>
          <w:color w:val="auto"/>
          <w:szCs w:val="24"/>
        </w:rPr>
      </w:pPr>
      <w:r w:rsidRPr="003C727B">
        <w:rPr>
          <w:rFonts w:cs="Calibri"/>
          <w:color w:val="auto"/>
          <w:szCs w:val="24"/>
        </w:rPr>
        <w:t>Demonstrated experience in cell culture methods.</w:t>
      </w:r>
    </w:p>
    <w:p w14:paraId="352C09BF" w14:textId="40689B86" w:rsidR="001852F8" w:rsidRPr="007E542F" w:rsidRDefault="005432EF" w:rsidP="001852F8">
      <w:pPr>
        <w:numPr>
          <w:ilvl w:val="0"/>
          <w:numId w:val="26"/>
        </w:numPr>
        <w:tabs>
          <w:tab w:val="center" w:pos="5103"/>
        </w:tabs>
        <w:spacing w:before="0" w:after="60" w:line="240" w:lineRule="auto"/>
        <w:rPr>
          <w:iCs/>
          <w:color w:val="auto"/>
          <w:szCs w:val="24"/>
        </w:rPr>
      </w:pPr>
      <w:r w:rsidRPr="007E542F">
        <w:rPr>
          <w:iCs/>
          <w:color w:val="auto"/>
          <w:szCs w:val="24"/>
        </w:rPr>
        <w:t xml:space="preserve">Demonstrated experience related to </w:t>
      </w:r>
      <w:r w:rsidR="007E542F" w:rsidRPr="007E542F">
        <w:rPr>
          <w:iCs/>
          <w:color w:val="auto"/>
          <w:szCs w:val="24"/>
        </w:rPr>
        <w:t>in vivo experiments</w:t>
      </w:r>
      <w:r w:rsidR="001852F8" w:rsidRPr="007E542F">
        <w:rPr>
          <w:iCs/>
          <w:color w:val="auto"/>
          <w:szCs w:val="24"/>
        </w:rPr>
        <w:t>.</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37F4FBE2" w:rsidR="005C2DA3" w:rsidRDefault="00C91082" w:rsidP="00C65C05">
      <w:pPr>
        <w:jc w:val="both"/>
      </w:pPr>
      <w:r w:rsidRPr="009974A6">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w:t>
      </w:r>
      <w:r w:rsidR="005C2DA3" w:rsidRPr="005C2DA3">
        <w:lastRenderedPageBreak/>
        <w:t>but their PhD has not yet been formally attained, the starting salary will be CSOF4-1</w:t>
      </w:r>
      <w:r w:rsidR="00FA682B" w:rsidRPr="00C65C05">
        <w:t xml:space="preserve"> ($</w:t>
      </w:r>
      <w:r w:rsidR="00C65C05" w:rsidRPr="00C65C05">
        <w:t>87,068</w:t>
      </w:r>
      <w:r w:rsidR="00FA682B" w:rsidRPr="00C65C05">
        <w:t>)</w:t>
      </w:r>
      <w:r w:rsidR="00460824" w:rsidRPr="00C65C05">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1AFB09B" w14:textId="77777777" w:rsidR="00CB3993" w:rsidRPr="00D17D9F" w:rsidRDefault="00CB3993" w:rsidP="00E673A0">
      <w:pPr>
        <w:pStyle w:val="Boxedlistbullet"/>
        <w:numPr>
          <w:ilvl w:val="0"/>
          <w:numId w:val="0"/>
        </w:numPr>
        <w:ind w:left="227"/>
        <w:rPr>
          <w:color w:val="auto"/>
        </w:rPr>
      </w:pPr>
      <w:r w:rsidRPr="00D17D9F">
        <w:rPr>
          <w:color w:val="auto"/>
        </w:rPr>
        <w:t>Include if relevant:</w:t>
      </w:r>
    </w:p>
    <w:p w14:paraId="4C16DD09" w14:textId="77777777" w:rsidR="003E5564" w:rsidRPr="00D17D9F" w:rsidRDefault="003E5564" w:rsidP="00E673A0">
      <w:pPr>
        <w:pStyle w:val="Boxedlistbullet"/>
        <w:numPr>
          <w:ilvl w:val="0"/>
          <w:numId w:val="0"/>
        </w:numPr>
        <w:ind w:left="227"/>
        <w:rPr>
          <w:color w:val="auto"/>
        </w:rPr>
      </w:pPr>
    </w:p>
    <w:p w14:paraId="242A7AFD" w14:textId="77777777" w:rsidR="00814ACE" w:rsidRPr="00D17D9F" w:rsidRDefault="00E673A0" w:rsidP="00E673A0">
      <w:pPr>
        <w:pStyle w:val="Boxedlistbullet"/>
        <w:spacing w:before="100" w:beforeAutospacing="1" w:after="100" w:afterAutospacing="1"/>
        <w:rPr>
          <w:color w:val="auto"/>
        </w:rPr>
      </w:pPr>
      <w:r w:rsidRPr="00D17D9F">
        <w:rPr>
          <w:color w:val="auto"/>
        </w:rPr>
        <w:t>The successful candidate will</w:t>
      </w:r>
      <w:r w:rsidR="00814ACE" w:rsidRPr="00D17D9F">
        <w:rPr>
          <w:color w:val="auto"/>
        </w:rPr>
        <w:t xml:space="preserve"> be asked to </w:t>
      </w:r>
      <w:r w:rsidR="00D476E9" w:rsidRPr="00D17D9F">
        <w:rPr>
          <w:color w:val="auto"/>
        </w:rPr>
        <w:t xml:space="preserve">obtain and provide evidence of a </w:t>
      </w:r>
      <w:r w:rsidR="00814ACE" w:rsidRPr="00D17D9F">
        <w:rPr>
          <w:color w:val="auto"/>
        </w:rPr>
        <w:t xml:space="preserve">National </w:t>
      </w:r>
      <w:r w:rsidR="00D476E9" w:rsidRPr="00D17D9F">
        <w:rPr>
          <w:color w:val="auto"/>
        </w:rPr>
        <w:t>P</w:t>
      </w:r>
      <w:r w:rsidR="00814ACE" w:rsidRPr="00D17D9F">
        <w:rPr>
          <w:color w:val="auto"/>
        </w:rPr>
        <w:t xml:space="preserve">olice </w:t>
      </w:r>
      <w:r w:rsidR="00D476E9" w:rsidRPr="00D17D9F">
        <w:rPr>
          <w:color w:val="auto"/>
        </w:rPr>
        <w:t>C</w:t>
      </w:r>
      <w:r w:rsidR="00814ACE" w:rsidRPr="00D17D9F">
        <w:rPr>
          <w:color w:val="auto"/>
        </w:rPr>
        <w:t>heck</w:t>
      </w:r>
      <w:r w:rsidR="00D476E9" w:rsidRPr="00D17D9F">
        <w:rPr>
          <w:color w:val="auto"/>
        </w:rPr>
        <w:t xml:space="preserve"> or equivalent</w:t>
      </w:r>
      <w:r w:rsidR="00814ACE" w:rsidRPr="00D17D9F">
        <w:rPr>
          <w:color w:val="auto"/>
        </w:rPr>
        <w:t>. Please note that people with criminal records are not automatically deemed ineligible. Each application will be considered on its merits.</w:t>
      </w:r>
      <w:r w:rsidRPr="00D17D9F">
        <w:rPr>
          <w:color w:val="auto"/>
        </w:rPr>
        <w:t xml:space="preserve">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7BD5BEC9" w14:textId="77777777" w:rsidR="00B50C20" w:rsidRPr="00B50C20" w:rsidRDefault="00B50C20" w:rsidP="00F94B61">
      <w:pPr>
        <w:spacing w:after="180"/>
        <w:rPr>
          <w:bCs/>
          <w:szCs w:val="24"/>
        </w:rPr>
      </w:pPr>
      <w:bookmarkStart w:id="5" w:name="_Hlk81837291"/>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bookmarkEnd w:id="2"/>
      <w:bookmarkEnd w:id="5"/>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A17A0" w14:textId="77777777" w:rsidR="00387F59" w:rsidRDefault="00387F59" w:rsidP="000A377A">
      <w:r>
        <w:separator/>
      </w:r>
    </w:p>
  </w:endnote>
  <w:endnote w:type="continuationSeparator" w:id="0">
    <w:p w14:paraId="1F927FF8" w14:textId="77777777" w:rsidR="00387F59" w:rsidRDefault="00387F59" w:rsidP="000A377A">
      <w:r>
        <w:continuationSeparator/>
      </w:r>
    </w:p>
  </w:endnote>
  <w:endnote w:type="continuationNotice" w:id="1">
    <w:p w14:paraId="163B4E30" w14:textId="77777777" w:rsidR="00387F59" w:rsidRDefault="00387F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7F504" w14:textId="77777777" w:rsidR="00387F59" w:rsidRDefault="00387F59" w:rsidP="000A377A">
      <w:r>
        <w:separator/>
      </w:r>
    </w:p>
  </w:footnote>
  <w:footnote w:type="continuationSeparator" w:id="0">
    <w:p w14:paraId="3A547C9A" w14:textId="77777777" w:rsidR="00387F59" w:rsidRDefault="00387F59" w:rsidP="000A377A">
      <w:r>
        <w:continuationSeparator/>
      </w:r>
    </w:p>
  </w:footnote>
  <w:footnote w:type="continuationNotice" w:id="1">
    <w:p w14:paraId="7B8F6DF7" w14:textId="77777777" w:rsidR="00387F59" w:rsidRDefault="00387F5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5FC805B2"/>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3D65"/>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6355"/>
    <w:rsid w:val="00177421"/>
    <w:rsid w:val="001777DA"/>
    <w:rsid w:val="00177D5B"/>
    <w:rsid w:val="001803E7"/>
    <w:rsid w:val="001836D3"/>
    <w:rsid w:val="001841BC"/>
    <w:rsid w:val="00184B11"/>
    <w:rsid w:val="001850DD"/>
    <w:rsid w:val="001852F8"/>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28EB"/>
    <w:rsid w:val="001B5426"/>
    <w:rsid w:val="001C17A3"/>
    <w:rsid w:val="001C384C"/>
    <w:rsid w:val="001C5E18"/>
    <w:rsid w:val="001C5F65"/>
    <w:rsid w:val="001C63EF"/>
    <w:rsid w:val="001D2CB3"/>
    <w:rsid w:val="001D3E13"/>
    <w:rsid w:val="001D4A7E"/>
    <w:rsid w:val="001E0667"/>
    <w:rsid w:val="001E0CAD"/>
    <w:rsid w:val="001E2916"/>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1786"/>
    <w:rsid w:val="002447D8"/>
    <w:rsid w:val="002468D5"/>
    <w:rsid w:val="00246B35"/>
    <w:rsid w:val="00246D6B"/>
    <w:rsid w:val="00246E5A"/>
    <w:rsid w:val="00250F1F"/>
    <w:rsid w:val="00251E5B"/>
    <w:rsid w:val="002528B8"/>
    <w:rsid w:val="002545B0"/>
    <w:rsid w:val="002550C1"/>
    <w:rsid w:val="00255286"/>
    <w:rsid w:val="00255E6D"/>
    <w:rsid w:val="002578B0"/>
    <w:rsid w:val="00257CC3"/>
    <w:rsid w:val="00257E75"/>
    <w:rsid w:val="00257E93"/>
    <w:rsid w:val="002600E0"/>
    <w:rsid w:val="0026351A"/>
    <w:rsid w:val="00264A6F"/>
    <w:rsid w:val="00265A09"/>
    <w:rsid w:val="00267DE0"/>
    <w:rsid w:val="00272F19"/>
    <w:rsid w:val="00273945"/>
    <w:rsid w:val="002744AC"/>
    <w:rsid w:val="002752E9"/>
    <w:rsid w:val="00276530"/>
    <w:rsid w:val="002809B7"/>
    <w:rsid w:val="00281466"/>
    <w:rsid w:val="00282F35"/>
    <w:rsid w:val="00283224"/>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2F71DC"/>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3814"/>
    <w:rsid w:val="00374FD6"/>
    <w:rsid w:val="00375730"/>
    <w:rsid w:val="003767F1"/>
    <w:rsid w:val="00381022"/>
    <w:rsid w:val="00382F2C"/>
    <w:rsid w:val="00385E2A"/>
    <w:rsid w:val="00386101"/>
    <w:rsid w:val="003869CE"/>
    <w:rsid w:val="003872C8"/>
    <w:rsid w:val="0038738D"/>
    <w:rsid w:val="00387F59"/>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C727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6846"/>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4F96"/>
    <w:rsid w:val="005379CE"/>
    <w:rsid w:val="00540413"/>
    <w:rsid w:val="00541E53"/>
    <w:rsid w:val="00542FBC"/>
    <w:rsid w:val="005432EF"/>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1246"/>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4909"/>
    <w:rsid w:val="007C78AC"/>
    <w:rsid w:val="007D0EDA"/>
    <w:rsid w:val="007D1151"/>
    <w:rsid w:val="007D12BD"/>
    <w:rsid w:val="007D21B7"/>
    <w:rsid w:val="007D2BE3"/>
    <w:rsid w:val="007D44D6"/>
    <w:rsid w:val="007D4D92"/>
    <w:rsid w:val="007D5A24"/>
    <w:rsid w:val="007D5A60"/>
    <w:rsid w:val="007E296E"/>
    <w:rsid w:val="007E4772"/>
    <w:rsid w:val="007E542F"/>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3CE0"/>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434B"/>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0D66"/>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813"/>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081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0E0"/>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17D9F"/>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581F"/>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255B7"/>
    <w:rsid w:val="003C6F9C"/>
    <w:rsid w:val="00414F94"/>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26</TotalTime>
  <Pages>5</Pages>
  <Words>1607</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11801</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5</cp:revision>
  <cp:lastPrinted>2012-02-02T00:02:00Z</cp:lastPrinted>
  <dcterms:created xsi:type="dcterms:W3CDTF">2021-11-30T00:45:00Z</dcterms:created>
  <dcterms:modified xsi:type="dcterms:W3CDTF">2021-12-01T03:47:00Z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