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551"/>
        <w:gridCol w:w="7230"/>
      </w:tblGrid>
      <w:tr w:rsidR="00452FD5" w:rsidRPr="0093721B" w14:paraId="72509608" w14:textId="77777777" w:rsidTr="00F3721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5B8EC5E" w14:textId="77777777" w:rsidR="00452FD5" w:rsidRPr="0093721B" w:rsidRDefault="00452FD5" w:rsidP="009A50DB">
            <w:pPr>
              <w:pStyle w:val="ColumnHeading"/>
              <w:spacing w:before="0" w:line="240" w:lineRule="auto"/>
              <w:rPr>
                <w:sz w:val="22"/>
              </w:rPr>
            </w:pPr>
            <w:r w:rsidRPr="0093721B">
              <w:rPr>
                <w:sz w:val="22"/>
              </w:rPr>
              <w:t>The following information is for applicants</w:t>
            </w:r>
          </w:p>
        </w:tc>
      </w:tr>
      <w:tr w:rsidR="00CC201B" w:rsidRPr="0093721B" w14:paraId="6F505400" w14:textId="77777777" w:rsidTr="00F3721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1898A07A" w14:textId="77777777" w:rsidR="00CC201B" w:rsidRPr="0093721B" w:rsidRDefault="00BB763A" w:rsidP="009A50DB">
            <w:pPr>
              <w:pStyle w:val="TableText"/>
              <w:spacing w:before="0" w:after="0" w:line="240" w:lineRule="auto"/>
              <w:rPr>
                <w:sz w:val="22"/>
              </w:rPr>
            </w:pPr>
            <w:r w:rsidRPr="0093721B">
              <w:rPr>
                <w:sz w:val="22"/>
              </w:rPr>
              <w:t>Advertised Job Title</w:t>
            </w:r>
          </w:p>
        </w:tc>
        <w:tc>
          <w:tcPr>
            <w:tcW w:w="3696" w:type="pct"/>
            <w:vAlign w:val="center"/>
          </w:tcPr>
          <w:p w14:paraId="32512DA1" w14:textId="6363D4CA" w:rsidR="00CC201B" w:rsidRPr="0093721B" w:rsidRDefault="009A50DB" w:rsidP="009A50DB">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Virologist, International Program</w:t>
            </w:r>
          </w:p>
        </w:tc>
      </w:tr>
      <w:tr w:rsidR="00CC201B" w:rsidRPr="0093721B" w14:paraId="7FC62E02" w14:textId="77777777" w:rsidTr="00F37216">
        <w:trPr>
          <w:trHeight w:val="33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7B36E05" w14:textId="77777777" w:rsidR="00CC201B" w:rsidRPr="0093721B" w:rsidRDefault="00BB763A" w:rsidP="009A50DB">
            <w:pPr>
              <w:pStyle w:val="TableText"/>
              <w:spacing w:before="0" w:after="0" w:line="240" w:lineRule="auto"/>
              <w:rPr>
                <w:sz w:val="22"/>
              </w:rPr>
            </w:pPr>
            <w:r w:rsidRPr="0093721B">
              <w:rPr>
                <w:sz w:val="22"/>
              </w:rPr>
              <w:t>Job Reference</w:t>
            </w:r>
          </w:p>
        </w:tc>
        <w:tc>
          <w:tcPr>
            <w:tcW w:w="3696" w:type="pct"/>
            <w:vAlign w:val="center"/>
          </w:tcPr>
          <w:p w14:paraId="3990B6EB" w14:textId="429A8354" w:rsidR="00CC201B" w:rsidRPr="0093721B" w:rsidRDefault="009A50DB" w:rsidP="009A50DB">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82249</w:t>
            </w:r>
          </w:p>
        </w:tc>
      </w:tr>
      <w:tr w:rsidR="000E571B" w:rsidRPr="0093721B" w14:paraId="3261D188" w14:textId="77777777" w:rsidTr="00F372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0DFFE5B" w14:textId="77777777" w:rsidR="000E571B" w:rsidRPr="0093721B" w:rsidRDefault="000E571B" w:rsidP="009A50DB">
            <w:pPr>
              <w:pStyle w:val="TableText"/>
              <w:spacing w:before="0" w:after="0" w:line="240" w:lineRule="auto"/>
              <w:rPr>
                <w:sz w:val="22"/>
              </w:rPr>
            </w:pPr>
            <w:r w:rsidRPr="0093721B">
              <w:rPr>
                <w:sz w:val="22"/>
              </w:rPr>
              <w:t>Tenure</w:t>
            </w:r>
          </w:p>
        </w:tc>
        <w:tc>
          <w:tcPr>
            <w:tcW w:w="3696" w:type="pct"/>
            <w:vAlign w:val="center"/>
          </w:tcPr>
          <w:p w14:paraId="66B1143A" w14:textId="69CB8DD4" w:rsidR="000E571B" w:rsidRPr="0093721B" w:rsidRDefault="009A50DB" w:rsidP="009A50D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ending 30 June, </w:t>
            </w:r>
            <w:proofErr w:type="gramStart"/>
            <w:r>
              <w:rPr>
                <w:sz w:val="22"/>
              </w:rPr>
              <w:t>2023</w:t>
            </w:r>
            <w:r w:rsidR="00F37216">
              <w:rPr>
                <w:sz w:val="22"/>
              </w:rPr>
              <w:t xml:space="preserve">  (</w:t>
            </w:r>
            <w:proofErr w:type="gramEnd"/>
            <w:r w:rsidR="00F37216">
              <w:rPr>
                <w:sz w:val="22"/>
              </w:rPr>
              <w:t>Full</w:t>
            </w:r>
            <w:r>
              <w:rPr>
                <w:sz w:val="22"/>
              </w:rPr>
              <w:t>-time</w:t>
            </w:r>
            <w:r w:rsidR="00F37216">
              <w:rPr>
                <w:sz w:val="22"/>
              </w:rPr>
              <w:t>)</w:t>
            </w:r>
          </w:p>
        </w:tc>
      </w:tr>
      <w:tr w:rsidR="000E571B" w:rsidRPr="0093721B" w14:paraId="25364540" w14:textId="77777777" w:rsidTr="00F37216">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DB02DCA" w14:textId="77777777" w:rsidR="000E571B" w:rsidRPr="0093721B" w:rsidRDefault="000E571B" w:rsidP="009A50DB">
            <w:pPr>
              <w:pStyle w:val="TableText"/>
              <w:spacing w:before="0" w:after="0" w:line="240" w:lineRule="auto"/>
              <w:rPr>
                <w:sz w:val="22"/>
              </w:rPr>
            </w:pPr>
            <w:r w:rsidRPr="0093721B">
              <w:rPr>
                <w:sz w:val="22"/>
              </w:rPr>
              <w:t>Salary Range</w:t>
            </w:r>
          </w:p>
        </w:tc>
        <w:tc>
          <w:tcPr>
            <w:tcW w:w="3696" w:type="pct"/>
            <w:vAlign w:val="center"/>
          </w:tcPr>
          <w:p w14:paraId="1AD980FE" w14:textId="3A059B00" w:rsidR="000E571B" w:rsidRPr="0093721B" w:rsidRDefault="000E571B" w:rsidP="009A50D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A50DB">
              <w:rPr>
                <w:sz w:val="22"/>
              </w:rPr>
              <w:t>87</w:t>
            </w:r>
            <w:r>
              <w:rPr>
                <w:sz w:val="22"/>
              </w:rPr>
              <w:t>k</w:t>
            </w:r>
            <w:r w:rsidRPr="0093721B">
              <w:rPr>
                <w:sz w:val="22"/>
              </w:rPr>
              <w:t xml:space="preserve"> </w:t>
            </w:r>
            <w:r>
              <w:rPr>
                <w:sz w:val="22"/>
              </w:rPr>
              <w:t>-</w:t>
            </w:r>
            <w:r w:rsidRPr="0093721B">
              <w:rPr>
                <w:sz w:val="22"/>
              </w:rPr>
              <w:t xml:space="preserve"> AU$</w:t>
            </w:r>
            <w:r w:rsidR="009A50DB">
              <w:rPr>
                <w:sz w:val="22"/>
              </w:rPr>
              <w:t>98</w:t>
            </w:r>
            <w:r>
              <w:rPr>
                <w:sz w:val="22"/>
              </w:rPr>
              <w:t>k</w:t>
            </w:r>
            <w:r w:rsidRPr="0093721B">
              <w:rPr>
                <w:sz w:val="22"/>
              </w:rPr>
              <w:t xml:space="preserve"> p</w:t>
            </w:r>
            <w:r>
              <w:rPr>
                <w:sz w:val="22"/>
              </w:rPr>
              <w:t>er annum</w:t>
            </w:r>
            <w:r w:rsidR="009A50DB">
              <w:rPr>
                <w:sz w:val="22"/>
              </w:rPr>
              <w:t xml:space="preserve">, </w:t>
            </w:r>
            <w:r>
              <w:rPr>
                <w:sz w:val="22"/>
              </w:rPr>
              <w:t>plus</w:t>
            </w:r>
            <w:r w:rsidRPr="0093721B">
              <w:rPr>
                <w:sz w:val="22"/>
              </w:rPr>
              <w:t xml:space="preserve"> up to 15.4% superannuation</w:t>
            </w:r>
          </w:p>
        </w:tc>
      </w:tr>
      <w:tr w:rsidR="00926BE4" w:rsidRPr="0093721B" w14:paraId="0E60D269" w14:textId="77777777" w:rsidTr="00F372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E0B6BD6" w14:textId="77777777" w:rsidR="00926BE4" w:rsidRPr="0093721B" w:rsidRDefault="00926BE4" w:rsidP="009A50DB">
            <w:pPr>
              <w:pStyle w:val="TableText"/>
              <w:spacing w:before="0" w:after="0" w:line="240" w:lineRule="auto"/>
              <w:rPr>
                <w:sz w:val="22"/>
              </w:rPr>
            </w:pPr>
            <w:r w:rsidRPr="0093721B">
              <w:rPr>
                <w:sz w:val="22"/>
              </w:rPr>
              <w:t>Location</w:t>
            </w:r>
            <w:r w:rsidR="00C45886" w:rsidRPr="0093721B">
              <w:rPr>
                <w:sz w:val="22"/>
              </w:rPr>
              <w:t>(s)</w:t>
            </w:r>
          </w:p>
        </w:tc>
        <w:tc>
          <w:tcPr>
            <w:tcW w:w="3696" w:type="pct"/>
            <w:vAlign w:val="center"/>
          </w:tcPr>
          <w:p w14:paraId="0734C471" w14:textId="46D95907" w:rsidR="00926BE4" w:rsidRPr="0093721B" w:rsidRDefault="009A50DB" w:rsidP="009A50D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 – Australian Centre for Disease Preparedness, Victoria</w:t>
            </w:r>
          </w:p>
        </w:tc>
      </w:tr>
      <w:tr w:rsidR="00926BE4" w:rsidRPr="0093721B" w14:paraId="358AA916" w14:textId="77777777" w:rsidTr="00F37216">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3374B1D4" w14:textId="77777777" w:rsidR="00926BE4" w:rsidRPr="0093721B" w:rsidRDefault="00926BE4" w:rsidP="009A50DB">
            <w:pPr>
              <w:pStyle w:val="TableText"/>
              <w:spacing w:before="0" w:after="0" w:line="240" w:lineRule="auto"/>
              <w:rPr>
                <w:sz w:val="22"/>
              </w:rPr>
            </w:pPr>
            <w:r w:rsidRPr="0093721B">
              <w:rPr>
                <w:sz w:val="22"/>
              </w:rPr>
              <w:t>Relocation Assistance</w:t>
            </w:r>
          </w:p>
        </w:tc>
        <w:tc>
          <w:tcPr>
            <w:tcW w:w="3696" w:type="pct"/>
            <w:vAlign w:val="center"/>
          </w:tcPr>
          <w:p w14:paraId="1ED6E7E3" w14:textId="77777777" w:rsidR="00926BE4" w:rsidRPr="0093721B" w:rsidRDefault="00EA62ED" w:rsidP="009A50D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F372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3857E9F" w14:textId="77777777" w:rsidR="00926BE4" w:rsidRPr="0093721B" w:rsidRDefault="00926BE4" w:rsidP="009A50DB">
            <w:pPr>
              <w:pStyle w:val="TableText"/>
              <w:spacing w:before="0" w:after="0" w:line="240" w:lineRule="auto"/>
              <w:rPr>
                <w:sz w:val="22"/>
              </w:rPr>
            </w:pPr>
            <w:r w:rsidRPr="0093721B">
              <w:rPr>
                <w:sz w:val="22"/>
              </w:rPr>
              <w:t>Applications are open to</w:t>
            </w:r>
          </w:p>
        </w:tc>
        <w:tc>
          <w:tcPr>
            <w:tcW w:w="3696" w:type="pct"/>
            <w:vAlign w:val="center"/>
          </w:tcPr>
          <w:p w14:paraId="2C3748B6" w14:textId="36F361D3" w:rsidR="00926BE4" w:rsidRPr="009A50DB" w:rsidRDefault="00EA62ED" w:rsidP="009A50D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3641316A" w14:textId="77777777" w:rsidTr="00F37216">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A9B4E73" w14:textId="77777777" w:rsidR="00C45886" w:rsidRPr="0093721B" w:rsidRDefault="00C45886" w:rsidP="009A50DB">
            <w:pPr>
              <w:pStyle w:val="TableText"/>
              <w:spacing w:before="0" w:after="0" w:line="240" w:lineRule="auto"/>
              <w:rPr>
                <w:sz w:val="22"/>
              </w:rPr>
            </w:pPr>
            <w:r w:rsidRPr="0093721B">
              <w:rPr>
                <w:sz w:val="22"/>
              </w:rPr>
              <w:t>Position reports to the</w:t>
            </w:r>
          </w:p>
        </w:tc>
        <w:tc>
          <w:tcPr>
            <w:tcW w:w="3696" w:type="pct"/>
            <w:vAlign w:val="center"/>
          </w:tcPr>
          <w:p w14:paraId="231D4DDF" w14:textId="016F2033" w:rsidR="00C45886" w:rsidRPr="0093721B" w:rsidRDefault="009A50DB" w:rsidP="009A50D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Project Manager – International Program</w:t>
            </w:r>
          </w:p>
        </w:tc>
      </w:tr>
      <w:tr w:rsidR="00926BE4" w:rsidRPr="0093721B" w14:paraId="6CF7BF45" w14:textId="77777777" w:rsidTr="00F372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E117B55" w14:textId="77777777" w:rsidR="00926BE4" w:rsidRPr="0093721B" w:rsidRDefault="00926BE4" w:rsidP="009A50DB">
            <w:pPr>
              <w:pStyle w:val="TableText"/>
              <w:spacing w:before="0" w:after="0" w:line="240" w:lineRule="auto"/>
              <w:rPr>
                <w:sz w:val="22"/>
              </w:rPr>
            </w:pPr>
            <w:r w:rsidRPr="0093721B">
              <w:rPr>
                <w:sz w:val="22"/>
              </w:rPr>
              <w:t>Client Focus – Internal</w:t>
            </w:r>
          </w:p>
        </w:tc>
        <w:tc>
          <w:tcPr>
            <w:tcW w:w="3696" w:type="pct"/>
            <w:vAlign w:val="center"/>
          </w:tcPr>
          <w:p w14:paraId="7FB5652F" w14:textId="16F77F54" w:rsidR="00926BE4" w:rsidRPr="009A50DB" w:rsidRDefault="009A50DB" w:rsidP="009A50D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A50DB">
              <w:rPr>
                <w:sz w:val="22"/>
              </w:rPr>
              <w:t>6</w:t>
            </w:r>
            <w:r w:rsidR="00F54F83" w:rsidRPr="009A50DB">
              <w:rPr>
                <w:sz w:val="22"/>
              </w:rPr>
              <w:t>0%</w:t>
            </w:r>
          </w:p>
        </w:tc>
      </w:tr>
      <w:tr w:rsidR="00926BE4" w:rsidRPr="0093721B" w14:paraId="76D632EE" w14:textId="77777777" w:rsidTr="00F37216">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771BC5D" w14:textId="77777777" w:rsidR="00926BE4" w:rsidRPr="0093721B" w:rsidRDefault="00926BE4" w:rsidP="009A50DB">
            <w:pPr>
              <w:pStyle w:val="TableText"/>
              <w:spacing w:before="0" w:after="0" w:line="240" w:lineRule="auto"/>
              <w:rPr>
                <w:sz w:val="22"/>
              </w:rPr>
            </w:pPr>
            <w:r w:rsidRPr="0093721B">
              <w:rPr>
                <w:sz w:val="22"/>
              </w:rPr>
              <w:t>Client Focus – External</w:t>
            </w:r>
          </w:p>
        </w:tc>
        <w:tc>
          <w:tcPr>
            <w:tcW w:w="3696" w:type="pct"/>
            <w:vAlign w:val="center"/>
          </w:tcPr>
          <w:p w14:paraId="61543731" w14:textId="2FDC7383" w:rsidR="00926BE4" w:rsidRPr="009A50DB" w:rsidRDefault="009A50DB" w:rsidP="009A50D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A50DB">
              <w:rPr>
                <w:sz w:val="22"/>
              </w:rPr>
              <w:t>4</w:t>
            </w:r>
            <w:r w:rsidR="00F54F83" w:rsidRPr="009A50DB">
              <w:rPr>
                <w:sz w:val="22"/>
              </w:rPr>
              <w:t>0%</w:t>
            </w:r>
          </w:p>
        </w:tc>
      </w:tr>
      <w:tr w:rsidR="00194B1C" w:rsidRPr="0093721B" w14:paraId="0B784B95" w14:textId="77777777" w:rsidTr="00F372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126CD664" w14:textId="77777777" w:rsidR="00194B1C" w:rsidRPr="0093721B" w:rsidRDefault="00C45886" w:rsidP="009A50DB">
            <w:pPr>
              <w:pStyle w:val="TableText"/>
              <w:spacing w:before="0" w:after="0" w:line="240" w:lineRule="auto"/>
              <w:rPr>
                <w:sz w:val="22"/>
              </w:rPr>
            </w:pPr>
            <w:r w:rsidRPr="0093721B">
              <w:rPr>
                <w:sz w:val="22"/>
              </w:rPr>
              <w:t>Number of Direct Reports</w:t>
            </w:r>
          </w:p>
        </w:tc>
        <w:tc>
          <w:tcPr>
            <w:tcW w:w="3696" w:type="pct"/>
            <w:vAlign w:val="center"/>
          </w:tcPr>
          <w:p w14:paraId="74696C9A" w14:textId="77777777" w:rsidR="00194B1C" w:rsidRPr="009A50DB" w:rsidRDefault="00F54F83" w:rsidP="009A50D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A50DB">
              <w:rPr>
                <w:sz w:val="22"/>
              </w:rPr>
              <w:t>0</w:t>
            </w:r>
          </w:p>
        </w:tc>
      </w:tr>
      <w:tr w:rsidR="00194B1C" w:rsidRPr="0093721B" w14:paraId="78D433C0" w14:textId="77777777" w:rsidTr="00F37216">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0F83B84" w14:textId="77777777" w:rsidR="00194B1C" w:rsidRPr="0093721B" w:rsidRDefault="00C45886" w:rsidP="009A50DB">
            <w:pPr>
              <w:pStyle w:val="TableText"/>
              <w:spacing w:before="0" w:after="0" w:line="240" w:lineRule="auto"/>
              <w:rPr>
                <w:sz w:val="22"/>
              </w:rPr>
            </w:pPr>
            <w:r w:rsidRPr="0093721B">
              <w:rPr>
                <w:sz w:val="22"/>
              </w:rPr>
              <w:t>Enquire about this job</w:t>
            </w:r>
          </w:p>
        </w:tc>
        <w:tc>
          <w:tcPr>
            <w:tcW w:w="3696" w:type="pct"/>
            <w:vAlign w:val="center"/>
          </w:tcPr>
          <w:p w14:paraId="6E100D1E" w14:textId="7C2C2335" w:rsidR="00194B1C" w:rsidRPr="009A50DB" w:rsidRDefault="009A50DB" w:rsidP="009A50D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A50DB">
              <w:rPr>
                <w:sz w:val="22"/>
              </w:rPr>
              <w:t xml:space="preserve">Gemma Clark via email: </w:t>
            </w:r>
            <w:hyperlink r:id="rId11" w:history="1">
              <w:r w:rsidRPr="009A50DB">
                <w:rPr>
                  <w:rStyle w:val="Hyperlink"/>
                  <w:sz w:val="22"/>
                </w:rPr>
                <w:t>Gemma.Clark@csiro.au</w:t>
              </w:r>
            </w:hyperlink>
            <w:r w:rsidRPr="009A50DB">
              <w:rPr>
                <w:sz w:val="22"/>
              </w:rPr>
              <w:t xml:space="preserve"> or phone 03 5227 5607</w:t>
            </w:r>
          </w:p>
        </w:tc>
      </w:tr>
      <w:tr w:rsidR="00194B1C" w:rsidRPr="0093721B" w14:paraId="5FBB65F6" w14:textId="77777777" w:rsidTr="00F372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FD256B0" w14:textId="77777777" w:rsidR="00194B1C" w:rsidRPr="0093721B" w:rsidRDefault="00C45886" w:rsidP="009A50DB">
            <w:pPr>
              <w:pStyle w:val="TableText"/>
              <w:spacing w:before="0" w:after="0" w:line="240" w:lineRule="auto"/>
              <w:rPr>
                <w:sz w:val="22"/>
              </w:rPr>
            </w:pPr>
            <w:r w:rsidRPr="0093721B">
              <w:rPr>
                <w:sz w:val="22"/>
              </w:rPr>
              <w:t>How to apply</w:t>
            </w:r>
          </w:p>
        </w:tc>
        <w:tc>
          <w:tcPr>
            <w:tcW w:w="3696" w:type="pct"/>
            <w:vAlign w:val="center"/>
          </w:tcPr>
          <w:p w14:paraId="4354AD93" w14:textId="77777777" w:rsidR="00F54F83" w:rsidRPr="0093721B" w:rsidRDefault="00F54F83" w:rsidP="009A50D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9A50D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9A50D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3EF209A" w14:textId="77777777" w:rsidR="00350EFF" w:rsidRPr="00350EFF" w:rsidRDefault="00350EFF" w:rsidP="00F37216">
      <w:pPr>
        <w:spacing w:after="0" w:line="240" w:lineRule="auto"/>
        <w:ind w:left="720" w:hanging="720"/>
        <w:rPr>
          <w:rFonts w:cs="Calibri"/>
          <w:b/>
          <w:color w:val="auto"/>
          <w:sz w:val="26"/>
          <w:szCs w:val="26"/>
        </w:rPr>
      </w:pPr>
      <w:r w:rsidRPr="00350EFF">
        <w:rPr>
          <w:rFonts w:cs="Calibri"/>
          <w:b/>
          <w:color w:val="auto"/>
          <w:sz w:val="26"/>
          <w:szCs w:val="26"/>
        </w:rPr>
        <w:t>Acknowledgement of Country</w:t>
      </w:r>
    </w:p>
    <w:p w14:paraId="47C289AA" w14:textId="77777777" w:rsidR="00350EFF" w:rsidRPr="00350EFF" w:rsidRDefault="00350EFF" w:rsidP="00F37216">
      <w:pPr>
        <w:widowControl w:val="0"/>
        <w:spacing w:after="0" w:line="240" w:lineRule="auto"/>
        <w:outlineLvl w:val="2"/>
        <w:rPr>
          <w:rFonts w:cs="Calibri"/>
        </w:rPr>
      </w:pPr>
      <w:r w:rsidRPr="00350EF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350EFF">
          <w:rPr>
            <w:rFonts w:cs="Calibri"/>
            <w:color w:val="1155CC"/>
            <w:u w:val="single"/>
          </w:rPr>
          <w:t>vision towards reconciliation</w:t>
        </w:r>
      </w:hyperlink>
      <w:r w:rsidRPr="00350EFF">
        <w:rPr>
          <w:rFonts w:cs="Calibri"/>
        </w:rPr>
        <w:t>.</w:t>
      </w:r>
    </w:p>
    <w:p w14:paraId="2B609C7D" w14:textId="77777777" w:rsidR="006246C0" w:rsidRPr="00674783" w:rsidRDefault="00B50C20" w:rsidP="00F37216">
      <w:pPr>
        <w:pStyle w:val="Heading3"/>
        <w:spacing w:before="120" w:after="0"/>
      </w:pPr>
      <w:r>
        <w:t>Role Overview</w:t>
      </w:r>
    </w:p>
    <w:p w14:paraId="42CCE944" w14:textId="0A39E330" w:rsidR="00B9279E" w:rsidRPr="009A50DB" w:rsidRDefault="00735952" w:rsidP="00B9279E">
      <w:pPr>
        <w:pStyle w:val="BodyText"/>
      </w:pPr>
      <w:bookmarkStart w:id="1" w:name="_Toc341085720"/>
      <w:r>
        <w:t>The Virologis</w:t>
      </w:r>
      <w:r w:rsidR="00B9279E">
        <w:t>t</w:t>
      </w:r>
      <w:r>
        <w:t>,</w:t>
      </w:r>
      <w:r w:rsidR="009A50DB" w:rsidRPr="009A50DB">
        <w:t xml:space="preserve"> International Program is a part of the Diagnosis Surveillance and Response (DSR) Program at the Australian Centre for Disease Preparedness (ACDP). </w:t>
      </w:r>
      <w:r w:rsidR="00B9279E">
        <w:t xml:space="preserve"> </w:t>
      </w:r>
      <w:r w:rsidR="00B9279E" w:rsidRPr="009A50DB">
        <w:t>The role involve</w:t>
      </w:r>
      <w:r w:rsidR="00B9279E">
        <w:t>s</w:t>
      </w:r>
      <w:r w:rsidR="00B9279E" w:rsidRPr="009A50DB">
        <w:t xml:space="preserve"> performing classical virology and diagnostic laboratory capacity building work such as virus isolation, antigen and reagent production, general sample processing and other associated laboratory housekeeping activities. </w:t>
      </w:r>
      <w:r w:rsidR="00B9279E">
        <w:t xml:space="preserve"> The position requires work</w:t>
      </w:r>
      <w:r w:rsidR="00B9279E" w:rsidRPr="009A50DB">
        <w:t xml:space="preserve"> in high biocontainment (BSL3) laboratories and contribute</w:t>
      </w:r>
      <w:r w:rsidR="00B9279E">
        <w:t>s</w:t>
      </w:r>
      <w:r w:rsidR="00B9279E" w:rsidRPr="009A50DB">
        <w:t xml:space="preserve"> to the delivery of outputs across a range of quality assured laboratory diagnostic services. </w:t>
      </w:r>
    </w:p>
    <w:p w14:paraId="38897303" w14:textId="41C71BE3" w:rsidR="00B9279E" w:rsidRDefault="00B9279E" w:rsidP="00B9279E">
      <w:pPr>
        <w:pStyle w:val="BodyText"/>
      </w:pPr>
      <w:r w:rsidRPr="009A50DB">
        <w:t xml:space="preserve">The role </w:t>
      </w:r>
      <w:r>
        <w:t>also includes</w:t>
      </w:r>
      <w:r w:rsidRPr="009A50DB">
        <w:t xml:space="preserve"> working in and providing diagnostic training to overseas laboratories, either in person or virtually, as required to meet the project objectives of ACDP’s International Program, particularly in Indonesia. </w:t>
      </w:r>
      <w:r>
        <w:t xml:space="preserve"> </w:t>
      </w:r>
      <w:r w:rsidRPr="009A50DB">
        <w:t>Overseas work will only be undertaken once the required competency standards are met and may involve multiple trips of 1-2 weeks duration</w:t>
      </w:r>
      <w:r>
        <w:t xml:space="preserve"> (</w:t>
      </w:r>
      <w:r w:rsidRPr="009A50DB">
        <w:t xml:space="preserve">potentially up to </w:t>
      </w:r>
      <w:r>
        <w:t>4</w:t>
      </w:r>
      <w:r w:rsidRPr="009A50DB">
        <w:t xml:space="preserve"> weeks</w:t>
      </w:r>
      <w:r>
        <w:t>)</w:t>
      </w:r>
      <w:r w:rsidRPr="009A50DB">
        <w:t>, in countries primarily in the Asia-Pacific region.</w:t>
      </w:r>
    </w:p>
    <w:p w14:paraId="6F7D200F" w14:textId="7E13DF04" w:rsidR="009A50DB" w:rsidRPr="009A50DB" w:rsidRDefault="009A50DB" w:rsidP="009A50DB">
      <w:pPr>
        <w:pStyle w:val="BodyText"/>
      </w:pPr>
      <w:r w:rsidRPr="009A50DB">
        <w:lastRenderedPageBreak/>
        <w:t xml:space="preserve">The DSR program provides diagnostics and research capability required to investigate and respond to newly emerging diseases affecting livestock and other animals. </w:t>
      </w:r>
      <w:r w:rsidR="00B9279E">
        <w:t xml:space="preserve"> </w:t>
      </w:r>
      <w:r w:rsidRPr="009A50DB">
        <w:t>The ACDP International Program, partners with multiple organisations including government, non-government and specialised agencies across the Asia-Pacific. Our aim is to strengthen laboratory capacity, improve quality of laboratory diagnostic services, and laboratory biosafety and biosecurity. The work undertaken is fundamental for the improvement of capability and capacity in the region for prevention, control and eradication of high-impact emerging and/or transboundary animal and zoonotic diseases that pose a significant threat to animal and public health. The program provides diagnostic expertise and training to animal health laboratories in the Indo-Pacific region, enhancing the region’s capacity for disease diagnosis and emergency outbreak response and building ongoing technical partnerships, all within a framework of Australian standards of biosafety and biosecurity.</w:t>
      </w:r>
    </w:p>
    <w:p w14:paraId="671662EA" w14:textId="76D25D18" w:rsidR="00B50C20" w:rsidRPr="00B50C20" w:rsidRDefault="00B50C20" w:rsidP="00B50C20">
      <w:pPr>
        <w:pStyle w:val="Heading3"/>
      </w:pPr>
      <w:r w:rsidRPr="00B50C20">
        <w:t>Duties and Key Result Areas</w:t>
      </w:r>
    </w:p>
    <w:p w14:paraId="4507D490" w14:textId="4917F01D" w:rsidR="009A50DB" w:rsidRPr="00FC234F" w:rsidRDefault="009A50DB" w:rsidP="009A50DB">
      <w:pPr>
        <w:pStyle w:val="ListParagraph"/>
        <w:numPr>
          <w:ilvl w:val="0"/>
          <w:numId w:val="40"/>
        </w:numPr>
        <w:spacing w:before="0" w:after="60" w:line="240" w:lineRule="auto"/>
        <w:ind w:left="426"/>
        <w:contextualSpacing w:val="0"/>
        <w:jc w:val="both"/>
        <w:rPr>
          <w:szCs w:val="24"/>
        </w:rPr>
      </w:pPr>
      <w:r w:rsidRPr="00FC234F">
        <w:rPr>
          <w:szCs w:val="24"/>
        </w:rPr>
        <w:t xml:space="preserve">Work within BSL3 and </w:t>
      </w:r>
      <w:r>
        <w:rPr>
          <w:szCs w:val="24"/>
        </w:rPr>
        <w:t xml:space="preserve">possibly </w:t>
      </w:r>
      <w:r w:rsidRPr="00FC234F">
        <w:rPr>
          <w:szCs w:val="24"/>
        </w:rPr>
        <w:t xml:space="preserve">BSL4 laboratories to perform virology testing under NATA/ISO 17025 accreditation for routine and emergency disease investigation, to support ACDP’s International Program and Reference Laboratory activities. After a period of training, </w:t>
      </w:r>
      <w:r>
        <w:rPr>
          <w:szCs w:val="24"/>
        </w:rPr>
        <w:t xml:space="preserve">contribute to virological characterisation </w:t>
      </w:r>
      <w:r w:rsidRPr="00FC234F">
        <w:rPr>
          <w:szCs w:val="24"/>
        </w:rPr>
        <w:t xml:space="preserve">work for the Virology team.  </w:t>
      </w:r>
    </w:p>
    <w:p w14:paraId="58727958" w14:textId="6A7B8D32" w:rsidR="009A50DB" w:rsidRPr="00FC234F" w:rsidRDefault="009A50DB" w:rsidP="009A50DB">
      <w:pPr>
        <w:pStyle w:val="ListParagraph"/>
        <w:numPr>
          <w:ilvl w:val="0"/>
          <w:numId w:val="40"/>
        </w:numPr>
        <w:spacing w:before="0" w:after="60" w:line="240" w:lineRule="auto"/>
        <w:ind w:left="426"/>
        <w:contextualSpacing w:val="0"/>
        <w:jc w:val="both"/>
        <w:rPr>
          <w:szCs w:val="24"/>
        </w:rPr>
      </w:pPr>
      <w:r w:rsidRPr="00FC234F">
        <w:rPr>
          <w:szCs w:val="24"/>
        </w:rPr>
        <w:t>Support delivery of the ACDP International Program’s delivery of laboratory capacity building projects in the Asia-Pacific region. This will include providing diagnostic training to overseas laboratories, hosting visiting scientists and collaborators from overseas institutions to develop and provide structured training in diagnostic virology standards and protocols.</w:t>
      </w:r>
    </w:p>
    <w:p w14:paraId="3AA6076D" w14:textId="77777777" w:rsidR="009A50DB" w:rsidRPr="00FC234F" w:rsidRDefault="009A50DB" w:rsidP="009A50DB">
      <w:pPr>
        <w:pStyle w:val="ListParagraph"/>
        <w:numPr>
          <w:ilvl w:val="0"/>
          <w:numId w:val="40"/>
        </w:numPr>
        <w:autoSpaceDE w:val="0"/>
        <w:autoSpaceDN w:val="0"/>
        <w:adjustRightInd w:val="0"/>
        <w:spacing w:before="100" w:after="100" w:line="240" w:lineRule="auto"/>
        <w:ind w:left="426"/>
        <w:contextualSpacing w:val="0"/>
        <w:rPr>
          <w:rFonts w:asciiTheme="minorHAnsi" w:hAnsiTheme="minorHAnsi" w:cstheme="minorHAnsi"/>
          <w:szCs w:val="24"/>
        </w:rPr>
      </w:pPr>
      <w:r w:rsidRPr="00FC234F">
        <w:rPr>
          <w:rFonts w:asciiTheme="minorHAnsi" w:hAnsiTheme="minorHAnsi" w:cstheme="minorHAnsi"/>
          <w:szCs w:val="24"/>
        </w:rPr>
        <w:t>As part of Reference Laboratory activities, characterise virus isolates submitted to ACDP using classical methods and contribute virology capability for associated infection trials.</w:t>
      </w:r>
    </w:p>
    <w:p w14:paraId="22106B94" w14:textId="0E77AE00" w:rsidR="009A50DB" w:rsidRDefault="009A50DB" w:rsidP="009A50DB">
      <w:pPr>
        <w:pStyle w:val="ListParagraph"/>
        <w:numPr>
          <w:ilvl w:val="0"/>
          <w:numId w:val="23"/>
        </w:numPr>
        <w:spacing w:before="0" w:after="60" w:line="240" w:lineRule="auto"/>
        <w:ind w:left="426"/>
      </w:pPr>
      <w:r w:rsidRPr="00FC234F">
        <w:rPr>
          <w:rFonts w:asciiTheme="minorHAnsi" w:hAnsiTheme="minorHAnsi" w:cstheme="minorHAnsi"/>
          <w:szCs w:val="24"/>
        </w:rPr>
        <w:t>Produce reagents under the ACDP quality system and ethical requirements to meet Reference Laboratory needs, international requests and the needs of the ACDP International Program.</w:t>
      </w:r>
    </w:p>
    <w:p w14:paraId="58ED07CB" w14:textId="565BFD47" w:rsidR="009A50DB" w:rsidRDefault="009A50DB" w:rsidP="009A50DB">
      <w:pPr>
        <w:pStyle w:val="ListParagraph"/>
        <w:numPr>
          <w:ilvl w:val="0"/>
          <w:numId w:val="23"/>
        </w:numPr>
        <w:spacing w:before="0" w:after="60" w:line="240" w:lineRule="auto"/>
        <w:ind w:left="426"/>
      </w:pPr>
      <w:r>
        <w:t xml:space="preserve">Contribute to Laboratory Quality Assurance requirements, including reporting tests and maintaining up-to-date and accurate test records. </w:t>
      </w:r>
    </w:p>
    <w:p w14:paraId="1850E678" w14:textId="77777777" w:rsidR="009A50DB" w:rsidRDefault="009A50DB" w:rsidP="009A50DB">
      <w:pPr>
        <w:pStyle w:val="ListParagraph"/>
        <w:numPr>
          <w:ilvl w:val="0"/>
          <w:numId w:val="23"/>
        </w:numPr>
        <w:spacing w:before="0" w:after="60" w:line="240" w:lineRule="auto"/>
        <w:ind w:left="426"/>
      </w:pPr>
      <w:r>
        <w:t>Contribute to the effective functioning of the International Program to meet specific project objectives, and to other diagnostic teams in the DSR program, to meet Annual Performance Goals and other objectives as advised by line management.</w:t>
      </w:r>
    </w:p>
    <w:p w14:paraId="72A63666" w14:textId="77777777" w:rsidR="009A50DB" w:rsidRDefault="009A50DB" w:rsidP="009A50DB">
      <w:pPr>
        <w:pStyle w:val="ListParagraph"/>
        <w:numPr>
          <w:ilvl w:val="0"/>
          <w:numId w:val="23"/>
        </w:numPr>
        <w:spacing w:before="0" w:after="60" w:line="240" w:lineRule="auto"/>
        <w:ind w:left="426"/>
      </w:pPr>
      <w:r>
        <w:t xml:space="preserve">Contribute to the planning and execution of virology projects as appropriate. </w:t>
      </w:r>
    </w:p>
    <w:p w14:paraId="6D81D8B8" w14:textId="77777777" w:rsidR="009A50DB" w:rsidRDefault="009A50DB" w:rsidP="009A50DB">
      <w:pPr>
        <w:pStyle w:val="ListParagraph"/>
        <w:numPr>
          <w:ilvl w:val="0"/>
          <w:numId w:val="23"/>
        </w:numPr>
        <w:spacing w:before="0" w:after="60" w:line="240" w:lineRule="auto"/>
        <w:ind w:left="426"/>
      </w:pPr>
      <w:r>
        <w:t xml:space="preserve">Contribute to the interpretation and communication of research and technical results including drafting presentations or detailed written reports for clients and the scientific research community. </w:t>
      </w:r>
    </w:p>
    <w:p w14:paraId="183CD251" w14:textId="77777777" w:rsidR="009A50DB" w:rsidRDefault="009A50DB" w:rsidP="009A50DB">
      <w:pPr>
        <w:pStyle w:val="ListParagraph"/>
        <w:numPr>
          <w:ilvl w:val="0"/>
          <w:numId w:val="23"/>
        </w:numPr>
        <w:spacing w:before="0" w:after="60" w:line="240" w:lineRule="auto"/>
        <w:ind w:left="426"/>
        <w:contextualSpacing w:val="0"/>
      </w:pPr>
      <w:r>
        <w:t>Maintain confidentiality when accessing personal and commercially sensitive information.</w:t>
      </w:r>
    </w:p>
    <w:p w14:paraId="196CEF42" w14:textId="7B737AD9" w:rsidR="002E4A14" w:rsidRPr="002E4A14" w:rsidRDefault="002E4A14" w:rsidP="009A50DB">
      <w:pPr>
        <w:pStyle w:val="ListParagraph"/>
        <w:numPr>
          <w:ilvl w:val="0"/>
          <w:numId w:val="23"/>
        </w:numPr>
        <w:spacing w:before="0" w:after="60" w:line="240" w:lineRule="auto"/>
        <w:ind w:left="426"/>
        <w:contextualSpacing w:val="0"/>
      </w:pPr>
      <w:r w:rsidRPr="002E4A14">
        <w:t>Communicate openly, effectively and respectfully with all staff, clients and suppliers in the interests of good business practice, collaboration and enhancement of CSIRO’s reputation.</w:t>
      </w:r>
    </w:p>
    <w:p w14:paraId="03237073" w14:textId="49D22A53" w:rsidR="002E4A14" w:rsidRPr="002E4A14" w:rsidRDefault="002E4A14" w:rsidP="009A50DB">
      <w:pPr>
        <w:pStyle w:val="ListParagraph"/>
        <w:numPr>
          <w:ilvl w:val="0"/>
          <w:numId w:val="23"/>
        </w:numPr>
        <w:spacing w:before="0" w:after="60" w:line="240" w:lineRule="auto"/>
        <w:ind w:left="426"/>
        <w:contextualSpacing w:val="0"/>
      </w:pPr>
      <w:r w:rsidRPr="002E4A14">
        <w:t>Work collaboratively as part of a multi-disciplinary</w:t>
      </w:r>
      <w:r w:rsidRPr="009A50DB">
        <w:t>, regionally dispersed research</w:t>
      </w:r>
      <w:r w:rsidRPr="002E4A14">
        <w:t xml:space="preserve"> team to carry out tasks in support of CSIRO’s scientific objectives.</w:t>
      </w:r>
    </w:p>
    <w:p w14:paraId="019DAB78" w14:textId="51AE216B" w:rsidR="00B164A0" w:rsidRDefault="00B164A0" w:rsidP="009A50DB">
      <w:pPr>
        <w:pStyle w:val="ListParagraph"/>
        <w:numPr>
          <w:ilvl w:val="0"/>
          <w:numId w:val="33"/>
        </w:numPr>
        <w:spacing w:before="0" w:after="60" w:line="240" w:lineRule="auto"/>
        <w:ind w:left="426"/>
      </w:pPr>
      <w:r>
        <w:t xml:space="preserve">Adhere to the spirit and practice of CSIRO’s </w:t>
      </w:r>
      <w:r w:rsidR="008C3D0F">
        <w:t xml:space="preserve">Values, </w:t>
      </w:r>
      <w:r>
        <w:t xml:space="preserve">Code of Conduct, Health, Safety and Environment procedures and policy, Diversity initiatives and Making Safety Personal goals. </w:t>
      </w:r>
    </w:p>
    <w:p w14:paraId="1AF47DD6" w14:textId="7FE258CC" w:rsidR="00993099" w:rsidRDefault="002E4A14" w:rsidP="009A50DB">
      <w:pPr>
        <w:pStyle w:val="ListParagraph"/>
        <w:numPr>
          <w:ilvl w:val="0"/>
          <w:numId w:val="23"/>
        </w:numPr>
        <w:spacing w:before="0" w:after="60" w:line="240" w:lineRule="auto"/>
        <w:ind w:left="426"/>
        <w:contextualSpacing w:val="0"/>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lastRenderedPageBreak/>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0B1BB643" w14:textId="77777777" w:rsidR="009A50DB" w:rsidRPr="009A50DB" w:rsidRDefault="009A50DB" w:rsidP="009A50DB">
      <w:pPr>
        <w:numPr>
          <w:ilvl w:val="0"/>
          <w:numId w:val="25"/>
        </w:numPr>
        <w:spacing w:before="0" w:after="60" w:line="240" w:lineRule="auto"/>
        <w:rPr>
          <w:rFonts w:cs="Calibri"/>
          <w:szCs w:val="24"/>
        </w:rPr>
      </w:pPr>
      <w:bookmarkStart w:id="2" w:name="_Hlk98166892"/>
      <w:r w:rsidRPr="009A50DB">
        <w:rPr>
          <w:rFonts w:cs="Calibri"/>
          <w:szCs w:val="24"/>
        </w:rPr>
        <w:t xml:space="preserve">Bachelor of Science (Hons) degree or equivalent relevant experience in Biological Sciences or a related discipline. </w:t>
      </w:r>
    </w:p>
    <w:p w14:paraId="412BEC13" w14:textId="77777777" w:rsidR="009A50DB" w:rsidRPr="009A50DB" w:rsidRDefault="009A50DB" w:rsidP="009A50DB">
      <w:pPr>
        <w:numPr>
          <w:ilvl w:val="0"/>
          <w:numId w:val="25"/>
        </w:numPr>
        <w:spacing w:before="0" w:after="60" w:line="240" w:lineRule="auto"/>
        <w:rPr>
          <w:rFonts w:cs="Calibri"/>
          <w:szCs w:val="24"/>
        </w:rPr>
      </w:pPr>
      <w:r w:rsidRPr="009A50DB">
        <w:rPr>
          <w:rFonts w:cs="Calibri"/>
          <w:szCs w:val="24"/>
        </w:rPr>
        <w:t>High level experience in conducting and coordinating laboratory-based viral diagnostic tests with ability to train others at both the ACDP and overseas laboratories.</w:t>
      </w:r>
    </w:p>
    <w:p w14:paraId="4D0C7689" w14:textId="77777777" w:rsidR="009A50DB" w:rsidRPr="009A50DB" w:rsidRDefault="009A50DB" w:rsidP="009A50DB">
      <w:pPr>
        <w:numPr>
          <w:ilvl w:val="0"/>
          <w:numId w:val="25"/>
        </w:numPr>
        <w:spacing w:before="0" w:after="60" w:line="240" w:lineRule="auto"/>
        <w:rPr>
          <w:rFonts w:cs="Calibri"/>
          <w:szCs w:val="24"/>
        </w:rPr>
      </w:pPr>
      <w:r w:rsidRPr="009A50DB">
        <w:rPr>
          <w:rFonts w:cs="Calibri"/>
          <w:szCs w:val="24"/>
        </w:rPr>
        <w:t>Previous laboratory virology experience in particular working with infectious agents.</w:t>
      </w:r>
    </w:p>
    <w:p w14:paraId="722C333E" w14:textId="77777777" w:rsidR="009A50DB" w:rsidRPr="009A50DB" w:rsidRDefault="009A50DB" w:rsidP="009A50DB">
      <w:pPr>
        <w:numPr>
          <w:ilvl w:val="0"/>
          <w:numId w:val="25"/>
        </w:numPr>
        <w:spacing w:before="0" w:after="60" w:line="240" w:lineRule="auto"/>
        <w:rPr>
          <w:rFonts w:cs="Calibri"/>
          <w:szCs w:val="24"/>
        </w:rPr>
      </w:pPr>
      <w:r w:rsidRPr="009A50DB">
        <w:rPr>
          <w:rFonts w:cs="Calibri"/>
          <w:szCs w:val="24"/>
        </w:rPr>
        <w:t xml:space="preserve">Demonstrated ability to support projects, including independently planning, implementing and completing the required project activities and objectives to clients’ expectations. </w:t>
      </w:r>
    </w:p>
    <w:p w14:paraId="24B6CAAF" w14:textId="77777777" w:rsidR="009A50DB" w:rsidRPr="009A50DB" w:rsidRDefault="009A50DB" w:rsidP="009A50DB">
      <w:pPr>
        <w:numPr>
          <w:ilvl w:val="0"/>
          <w:numId w:val="25"/>
        </w:numPr>
        <w:spacing w:before="0" w:after="60" w:line="240" w:lineRule="auto"/>
        <w:rPr>
          <w:rFonts w:cs="Calibri"/>
          <w:szCs w:val="24"/>
        </w:rPr>
      </w:pPr>
      <w:r w:rsidRPr="009A50DB">
        <w:rPr>
          <w:rFonts w:cs="Calibri"/>
          <w:szCs w:val="24"/>
        </w:rPr>
        <w:t xml:space="preserve">Demonstrated ability to work both independently and co-operatively as a member of a larger project team and to form and maintain effective and respectful relationships with a range of colleagues and collaborators. </w:t>
      </w:r>
    </w:p>
    <w:p w14:paraId="138A6A7A" w14:textId="77777777" w:rsidR="009A50DB" w:rsidRPr="009A50DB" w:rsidRDefault="009A50DB" w:rsidP="009A50DB">
      <w:pPr>
        <w:numPr>
          <w:ilvl w:val="0"/>
          <w:numId w:val="25"/>
        </w:numPr>
        <w:spacing w:before="0" w:after="60" w:line="240" w:lineRule="auto"/>
        <w:rPr>
          <w:rFonts w:cs="Calibri"/>
          <w:szCs w:val="24"/>
        </w:rPr>
      </w:pPr>
      <w:r w:rsidRPr="009A50DB">
        <w:rPr>
          <w:rFonts w:cs="Calibri"/>
          <w:szCs w:val="24"/>
        </w:rPr>
        <w:t xml:space="preserve">High level interpersonal and written and verbal communication skills including the ability to document results and communicate effectively with colleagues and clients from various cultural backgrounds </w:t>
      </w:r>
      <w:proofErr w:type="gramStart"/>
      <w:r w:rsidRPr="009A50DB">
        <w:rPr>
          <w:rFonts w:cs="Calibri"/>
          <w:szCs w:val="24"/>
        </w:rPr>
        <w:t>in order to</w:t>
      </w:r>
      <w:proofErr w:type="gramEnd"/>
      <w:r w:rsidRPr="009A50DB">
        <w:rPr>
          <w:rFonts w:cs="Calibri"/>
          <w:szCs w:val="24"/>
        </w:rPr>
        <w:t xml:space="preserve"> meet project goals and timelines.</w:t>
      </w:r>
    </w:p>
    <w:p w14:paraId="4966A422" w14:textId="586BECC8" w:rsidR="00993099" w:rsidRPr="00D5405D" w:rsidRDefault="009A50DB" w:rsidP="009A50DB">
      <w:pPr>
        <w:numPr>
          <w:ilvl w:val="0"/>
          <w:numId w:val="25"/>
        </w:numPr>
        <w:spacing w:before="0" w:after="60" w:line="240" w:lineRule="auto"/>
        <w:rPr>
          <w:rStyle w:val="Emphasis"/>
          <w:rFonts w:cs="Calibri"/>
          <w:i w:val="0"/>
          <w:szCs w:val="24"/>
        </w:rPr>
      </w:pPr>
      <w:r w:rsidRPr="009A50DB">
        <w:rPr>
          <w:rFonts w:cs="Calibri"/>
          <w:szCs w:val="24"/>
        </w:rPr>
        <w:t xml:space="preserve">Willingness and ability to travel overseas for periods of between 1 </w:t>
      </w:r>
      <w:r w:rsidR="004464D6">
        <w:rPr>
          <w:rFonts w:cs="Calibri"/>
          <w:szCs w:val="24"/>
        </w:rPr>
        <w:t>and</w:t>
      </w:r>
      <w:r w:rsidRPr="009A50DB">
        <w:rPr>
          <w:rFonts w:cs="Calibri"/>
          <w:szCs w:val="24"/>
        </w:rPr>
        <w:t xml:space="preserve"> 4 weeks to deliver project work and to provide structured training for overseas collaborators.</w:t>
      </w:r>
      <w:bookmarkEnd w:id="2"/>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1DA29CE4" w14:textId="77777777" w:rsidR="009A50DB" w:rsidRPr="009A50DB" w:rsidRDefault="009A50DB" w:rsidP="009A50DB">
      <w:pPr>
        <w:numPr>
          <w:ilvl w:val="0"/>
          <w:numId w:val="26"/>
        </w:numPr>
        <w:spacing w:before="0" w:after="60" w:line="240" w:lineRule="auto"/>
        <w:rPr>
          <w:iCs/>
          <w:szCs w:val="24"/>
        </w:rPr>
      </w:pPr>
      <w:r w:rsidRPr="009A50DB">
        <w:rPr>
          <w:iCs/>
          <w:szCs w:val="24"/>
        </w:rPr>
        <w:t>Postgraduate degree in virology or a related discipline.</w:t>
      </w:r>
    </w:p>
    <w:p w14:paraId="0269A2A9" w14:textId="77777777" w:rsidR="009A50DB" w:rsidRPr="009A50DB" w:rsidRDefault="009A50DB" w:rsidP="009A50DB">
      <w:pPr>
        <w:numPr>
          <w:ilvl w:val="0"/>
          <w:numId w:val="26"/>
        </w:numPr>
        <w:spacing w:before="0" w:after="60" w:line="240" w:lineRule="auto"/>
        <w:rPr>
          <w:iCs/>
          <w:szCs w:val="24"/>
        </w:rPr>
      </w:pPr>
      <w:r w:rsidRPr="009A50DB">
        <w:rPr>
          <w:iCs/>
          <w:szCs w:val="24"/>
        </w:rPr>
        <w:t>Experience in producing virological or serological test reagents under a quality system and, where required, adhering to relevant animal ethics requirements.</w:t>
      </w:r>
    </w:p>
    <w:p w14:paraId="2991D9FB" w14:textId="77777777" w:rsidR="009A50DB" w:rsidRPr="009A50DB" w:rsidRDefault="009A50DB" w:rsidP="009A50DB">
      <w:pPr>
        <w:numPr>
          <w:ilvl w:val="0"/>
          <w:numId w:val="26"/>
        </w:numPr>
        <w:spacing w:before="0" w:after="60" w:line="240" w:lineRule="auto"/>
        <w:rPr>
          <w:iCs/>
          <w:szCs w:val="24"/>
        </w:rPr>
      </w:pPr>
      <w:r w:rsidRPr="009A50DB">
        <w:rPr>
          <w:iCs/>
          <w:szCs w:val="24"/>
        </w:rPr>
        <w:t xml:space="preserve">Experience in egg or cell culture techniques for virus isolation/subculture, and serological testing. </w:t>
      </w:r>
    </w:p>
    <w:p w14:paraId="5B642895" w14:textId="77777777" w:rsidR="009A50DB" w:rsidRPr="009A50DB" w:rsidRDefault="009A50DB" w:rsidP="009A50DB">
      <w:pPr>
        <w:numPr>
          <w:ilvl w:val="0"/>
          <w:numId w:val="26"/>
        </w:numPr>
        <w:spacing w:before="0" w:after="60" w:line="240" w:lineRule="auto"/>
        <w:rPr>
          <w:iCs/>
          <w:szCs w:val="24"/>
        </w:rPr>
      </w:pPr>
      <w:r w:rsidRPr="009A50DB">
        <w:rPr>
          <w:iCs/>
          <w:szCs w:val="24"/>
        </w:rPr>
        <w:t>Prior experience working at physical containment level 3 laboratories or higher.</w:t>
      </w:r>
    </w:p>
    <w:p w14:paraId="7B074AC2" w14:textId="2C75C807" w:rsidR="00993099" w:rsidRPr="00B50C20" w:rsidRDefault="009A50DB" w:rsidP="009A50DB">
      <w:pPr>
        <w:numPr>
          <w:ilvl w:val="0"/>
          <w:numId w:val="26"/>
        </w:numPr>
        <w:spacing w:before="0" w:after="60" w:line="240" w:lineRule="auto"/>
        <w:rPr>
          <w:iCs/>
          <w:szCs w:val="24"/>
        </w:rPr>
      </w:pPr>
      <w:r w:rsidRPr="009A50DB">
        <w:rPr>
          <w:iCs/>
          <w:szCs w:val="24"/>
        </w:rPr>
        <w:t>Previous experience working overseas, particularly in developing countries.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1"/>
    <w:p w14:paraId="5405538A" w14:textId="77777777" w:rsidR="009E22B3" w:rsidRDefault="009E22B3" w:rsidP="009E22B3">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6B62A4C7"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425869B8"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54DC8265"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2A8352A1"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0B05C096"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76B9E2A7"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5439084B"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2B00072E"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3B2032B3"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5D45BF56"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57CA3CED"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04904584"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lastRenderedPageBreak/>
        <w:t>10.</w:t>
      </w:r>
      <w:r>
        <w:rPr>
          <w:iCs/>
        </w:rPr>
        <w:tab/>
        <w:t>Access restrictions apply to the Werribee Animal Health Facility (WAHF) site that is associated with, but remote from, the ACDP site.</w:t>
      </w:r>
    </w:p>
    <w:p w14:paraId="77C1B965" w14:textId="77777777" w:rsidR="007E2C41" w:rsidRDefault="007E2C41" w:rsidP="007E2C41">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5DF24FA6" w14:textId="3C3764CF" w:rsidR="007E2C41" w:rsidRPr="009A50DB" w:rsidRDefault="007E2C41" w:rsidP="007E2C41">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pPr>
      <w:r>
        <w:t>1.</w:t>
      </w:r>
      <w:r>
        <w:tab/>
        <w:t xml:space="preserve">Obtain and provide evidence of a National Police Clearance or equivalent. Please note that individuals with criminal records are not automatically deemed ineligible. Each application will be considered on its merits. </w:t>
      </w:r>
    </w:p>
    <w:p w14:paraId="2E9C0093" w14:textId="77777777" w:rsidR="007E2C41" w:rsidRDefault="007E2C41" w:rsidP="007E2C41">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240"/>
        <w:ind w:left="425" w:right="0" w:hanging="425"/>
        <w:contextualSpacing w:val="0"/>
      </w:pPr>
      <w:r w:rsidRPr="009A50DB">
        <w:rPr>
          <w:iCs/>
        </w:rPr>
        <w:t>2.</w:t>
      </w:r>
      <w:r w:rsidRPr="009A50DB">
        <w:rPr>
          <w:iCs/>
        </w:rPr>
        <w:tab/>
      </w:r>
      <w:r w:rsidRPr="009A50DB">
        <w:t>Undertake a National Health Security Check (to be arranged post-commencement).</w:t>
      </w:r>
    </w:p>
    <w:p w14:paraId="31CECEA9" w14:textId="5746F9E4" w:rsidR="007E2C41" w:rsidRDefault="007E2C41" w:rsidP="007E2C41">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pPr>
      <w:r w:rsidRPr="009A50DB">
        <w:rPr>
          <w:iCs/>
        </w:rPr>
        <w:t>3.</w:t>
      </w:r>
      <w:r w:rsidRPr="009A50DB">
        <w:rPr>
          <w:iCs/>
        </w:rPr>
        <w:tab/>
      </w:r>
      <w:r w:rsidRPr="009A50DB">
        <w:t>Obtain and maintain a security clearance at the Negative Vetting Level 1 (to be arranged post-commencement).</w:t>
      </w:r>
    </w:p>
    <w:p w14:paraId="58ED94DD" w14:textId="643FBA0F" w:rsidR="004A09D3" w:rsidRPr="009A50DB" w:rsidRDefault="004A09D3" w:rsidP="007E2C41">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t>4.</w:t>
      </w:r>
      <w:r>
        <w:tab/>
        <w:t>T</w:t>
      </w:r>
      <w:r w:rsidRPr="009A50DB">
        <w:rPr>
          <w:rFonts w:cs="Calibri"/>
        </w:rPr>
        <w:t xml:space="preserve">ravel overseas for periods of between 1 </w:t>
      </w:r>
      <w:r w:rsidR="004464D6">
        <w:rPr>
          <w:rFonts w:cs="Calibri"/>
        </w:rPr>
        <w:t>and</w:t>
      </w:r>
      <w:r w:rsidRPr="009A50DB">
        <w:rPr>
          <w:rFonts w:cs="Calibri"/>
        </w:rPr>
        <w:t xml:space="preserve"> 4 weeks</w:t>
      </w:r>
      <w:r>
        <w:rPr>
          <w:rFonts w:cs="Calibri"/>
        </w:rPr>
        <w:t>.</w:t>
      </w:r>
    </w:p>
    <w:p w14:paraId="137697C9" w14:textId="77777777" w:rsidR="008F2991" w:rsidRPr="000B3207" w:rsidRDefault="008F2991" w:rsidP="008F2991">
      <w:pPr>
        <w:pStyle w:val="Heading2"/>
        <w:rPr>
          <w:b/>
          <w:iCs w:val="0"/>
          <w:color w:val="auto"/>
          <w:sz w:val="26"/>
          <w:szCs w:val="26"/>
        </w:rPr>
      </w:pPr>
      <w:r w:rsidRPr="000B3207">
        <w:rPr>
          <w:b/>
          <w:iCs w:val="0"/>
          <w:color w:val="auto"/>
          <w:sz w:val="26"/>
          <w:szCs w:val="26"/>
        </w:rPr>
        <w:t>About CSIRO</w:t>
      </w:r>
    </w:p>
    <w:p w14:paraId="47A9C52C" w14:textId="28CF5920" w:rsidR="008F2991" w:rsidRPr="009A655B" w:rsidRDefault="008F2991" w:rsidP="673A0CDE">
      <w:pPr>
        <w:spacing w:after="240"/>
        <w:rPr>
          <w:u w:val="single"/>
        </w:rPr>
      </w:pPr>
      <w:r>
        <w:t xml:space="preserve">We solve the greatest challenges through innovative science and technology. Visit </w:t>
      </w:r>
      <w:hyperlink r:id="rId15">
        <w:r w:rsidRPr="673A0CDE">
          <w:rPr>
            <w:color w:val="757579" w:themeColor="accent3"/>
            <w:u w:val="single"/>
          </w:rPr>
          <w:t>CSIRO Online</w:t>
        </w:r>
      </w:hyperlink>
      <w:r>
        <w:t xml:space="preserve"> and </w:t>
      </w:r>
      <w:hyperlink r:id="rId16">
        <w:r w:rsidRPr="673A0CDE">
          <w:rPr>
            <w:rStyle w:val="Hyperlink"/>
          </w:rPr>
          <w:t>Australian Centre for Disease Preparedness</w:t>
        </w:r>
      </w:hyperlink>
      <w:r>
        <w:t xml:space="preserve"> for more information.</w:t>
      </w:r>
    </w:p>
    <w:p w14:paraId="56FE09F1" w14:textId="77777777" w:rsidR="008F2991" w:rsidRPr="009A655B" w:rsidRDefault="008F2991" w:rsidP="008F2991">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6AD03E09" w14:textId="77777777" w:rsidR="008F2991" w:rsidRPr="009A655B" w:rsidRDefault="008F2991" w:rsidP="008F2991">
      <w:pPr>
        <w:numPr>
          <w:ilvl w:val="0"/>
          <w:numId w:val="38"/>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51E8D727" w14:textId="77777777" w:rsidR="008F2991" w:rsidRPr="009A655B" w:rsidRDefault="008F2991" w:rsidP="008F2991">
      <w:pPr>
        <w:numPr>
          <w:ilvl w:val="0"/>
          <w:numId w:val="38"/>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6C92E4FB" w14:textId="77777777" w:rsidR="008F2991" w:rsidRPr="009A655B" w:rsidRDefault="008F2991" w:rsidP="008F2991">
      <w:pPr>
        <w:numPr>
          <w:ilvl w:val="0"/>
          <w:numId w:val="38"/>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5A676E03" w14:textId="77777777" w:rsidR="008F2991" w:rsidRPr="00E1593E" w:rsidRDefault="008F2991" w:rsidP="008F2991">
      <w:pPr>
        <w:numPr>
          <w:ilvl w:val="0"/>
          <w:numId w:val="38"/>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8F2991" w:rsidRPr="00E1593E"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43A7" w14:textId="77777777" w:rsidR="008E1167" w:rsidRDefault="008E1167" w:rsidP="000A377A">
      <w:r>
        <w:separator/>
      </w:r>
    </w:p>
  </w:endnote>
  <w:endnote w:type="continuationSeparator" w:id="0">
    <w:p w14:paraId="2C8B3547" w14:textId="77777777" w:rsidR="008E1167" w:rsidRDefault="008E1167" w:rsidP="000A377A">
      <w:r>
        <w:continuationSeparator/>
      </w:r>
    </w:p>
  </w:endnote>
  <w:endnote w:type="continuationNotice" w:id="1">
    <w:p w14:paraId="36E5FE57" w14:textId="77777777" w:rsidR="008E1167" w:rsidRDefault="008E11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14FA" w14:textId="77777777" w:rsidR="008E1167" w:rsidRDefault="008E1167" w:rsidP="000A377A">
      <w:r>
        <w:separator/>
      </w:r>
    </w:p>
  </w:footnote>
  <w:footnote w:type="continuationSeparator" w:id="0">
    <w:p w14:paraId="2264B860" w14:textId="77777777" w:rsidR="008E1167" w:rsidRDefault="008E1167" w:rsidP="000A377A">
      <w:r>
        <w:continuationSeparator/>
      </w:r>
    </w:p>
  </w:footnote>
  <w:footnote w:type="continuationNotice" w:id="1">
    <w:p w14:paraId="22941128" w14:textId="77777777" w:rsidR="008E1167" w:rsidRDefault="008E11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F363F1"/>
    <w:multiLevelType w:val="hybridMultilevel"/>
    <w:tmpl w:val="C39E1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0EFF"/>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64D6"/>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9D3"/>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595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2C41"/>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2991"/>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50DB"/>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E22B3"/>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279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04829"/>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216"/>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673A0CDE"/>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45661063">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62889734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0927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mma.Clark@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75e7ed6-1ec2-4001-86ef-fa26deb0b9eb">CMK6P2NEDCWN-871830227-80</_dlc_DocId>
    <_dlc_DocIdUrl xmlns="375e7ed6-1ec2-4001-86ef-fa26deb0b9eb">
      <Url>https://csiroau.sharepoint.com/sites/ACDPRecruiting/_layouts/15/DocIdRedir.aspx?ID=CMK6P2NEDCWN-871830227-80</Url>
      <Description>CMK6P2NEDCWN-871830227-80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4" ma:contentTypeDescription="Create a new document." ma:contentTypeScope="" ma:versionID="c493b0baf965341d1fa856d9198fd400">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2ddfd30ffc95d5527d19c496e45d5fa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2.xml><?xml version="1.0" encoding="utf-8"?>
<ds:datastoreItem xmlns:ds="http://schemas.openxmlformats.org/officeDocument/2006/customXml" ds:itemID="{B5031A52-8709-4E51-A6C1-E1CBB912628F}">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7495d482-cd79-44c5-a989-adf85fc91d78"/>
    <ds:schemaRef ds:uri="f9d56f65-ef43-4e59-b084-d4bf4ff12e34"/>
    <ds:schemaRef ds:uri="http://purl.org/dc/dcmitype/"/>
    <ds:schemaRef ds:uri="375e7ed6-1ec2-4001-86ef-fa26deb0b9eb"/>
  </ds:schemaRefs>
</ds:datastoreItem>
</file>

<file path=customXml/itemProps3.xml><?xml version="1.0" encoding="utf-8"?>
<ds:datastoreItem xmlns:ds="http://schemas.openxmlformats.org/officeDocument/2006/customXml" ds:itemID="{97164B09-244E-4E10-B23E-D3C71036C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774D8-5D7D-41AE-8A42-549EF11BB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TotalTime>
  <Pages>5</Pages>
  <Words>1776</Words>
  <Characters>11182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Helena</cp:lastModifiedBy>
  <cp:revision>5</cp:revision>
  <cp:lastPrinted>2012-02-01T05:32:00Z</cp:lastPrinted>
  <dcterms:created xsi:type="dcterms:W3CDTF">2022-03-04T08:32:00Z</dcterms:created>
  <dcterms:modified xsi:type="dcterms:W3CDTF">2022-03-14T11:24:00Z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1aa62c73-000d-4450-a6cf-664a1b5ca95b</vt:lpwstr>
  </property>
</Properties>
</file>