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1B535A71" w:rsidR="006246C0" w:rsidRDefault="007A03F8" w:rsidP="00B04E3F">
          <w:pPr>
            <w:pStyle w:val="Heading2"/>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F94B61">
            <w:pPr>
              <w:pStyle w:val="TableText"/>
              <w:rPr>
                <w:sz w:val="22"/>
              </w:rPr>
            </w:pPr>
            <w:r w:rsidRPr="0093721B">
              <w:rPr>
                <w:sz w:val="22"/>
              </w:rPr>
              <w:t>Advertised Job Title</w:t>
            </w:r>
          </w:p>
        </w:tc>
        <w:tc>
          <w:tcPr>
            <w:tcW w:w="2965" w:type="pct"/>
          </w:tcPr>
          <w:p w14:paraId="38CDE209" w14:textId="19741010"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C13059">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7C4477">
              <w:rPr>
                <w:sz w:val="22"/>
              </w:rPr>
              <w:t>Infectious Animal Diseases</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F94B61">
            <w:pPr>
              <w:pStyle w:val="TableText"/>
              <w:rPr>
                <w:sz w:val="22"/>
              </w:rPr>
            </w:pPr>
            <w:r w:rsidRPr="0093721B">
              <w:rPr>
                <w:sz w:val="22"/>
              </w:rPr>
              <w:t>Job Reference</w:t>
            </w:r>
          </w:p>
        </w:tc>
        <w:tc>
          <w:tcPr>
            <w:tcW w:w="2965" w:type="pct"/>
          </w:tcPr>
          <w:p w14:paraId="3F9290B9" w14:textId="1499023E" w:rsidR="00CC201B" w:rsidRPr="0093721B" w:rsidRDefault="00C1305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83130</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F94B61">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23E3281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F94B61">
            <w:pPr>
              <w:pStyle w:val="TableText"/>
              <w:rPr>
                <w:sz w:val="22"/>
              </w:rPr>
            </w:pPr>
            <w:r w:rsidRPr="0093721B">
              <w:rPr>
                <w:sz w:val="22"/>
              </w:rPr>
              <w:t>Salary Range</w:t>
            </w:r>
          </w:p>
        </w:tc>
        <w:tc>
          <w:tcPr>
            <w:tcW w:w="2965" w:type="pct"/>
          </w:tcPr>
          <w:p w14:paraId="0B8A7515" w14:textId="41FA6FB2"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F0874" w:rsidRPr="0093721B">
              <w:rPr>
                <w:sz w:val="22"/>
              </w:rPr>
              <w:t>$</w:t>
            </w:r>
            <w:r w:rsidR="005B548E">
              <w:rPr>
                <w:sz w:val="22"/>
              </w:rPr>
              <w:t>89,926</w:t>
            </w:r>
            <w:r w:rsidR="00FF0874" w:rsidRPr="0093721B">
              <w:rPr>
                <w:sz w:val="22"/>
              </w:rPr>
              <w:t xml:space="preserve"> </w:t>
            </w:r>
            <w:r w:rsidRPr="0093721B">
              <w:rPr>
                <w:sz w:val="22"/>
              </w:rPr>
              <w:t>to AU$</w:t>
            </w:r>
            <w:r w:rsidR="005B548E">
              <w:rPr>
                <w:sz w:val="22"/>
              </w:rPr>
              <w:t>98,504</w:t>
            </w:r>
            <w:r w:rsidRPr="0093721B">
              <w:rPr>
                <w:sz w:val="22"/>
              </w:rPr>
              <w:t xml:space="preserve"> pa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2965" w:type="pct"/>
          </w:tcPr>
          <w:p w14:paraId="5D9E8ED3" w14:textId="5A7DC9D1" w:rsidR="00926BE4" w:rsidRPr="0093721B" w:rsidRDefault="007C4477" w:rsidP="00C97F0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w:t>
            </w:r>
            <w:r w:rsidR="00C13059">
              <w:rPr>
                <w:sz w:val="22"/>
              </w:rPr>
              <w:t>, VIC</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F94B61">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F94B61">
            <w:pPr>
              <w:pStyle w:val="TableText"/>
              <w:rPr>
                <w:sz w:val="22"/>
              </w:rPr>
            </w:pPr>
            <w:r w:rsidRPr="0093721B">
              <w:rPr>
                <w:sz w:val="22"/>
              </w:rPr>
              <w:t>Applications are open to</w:t>
            </w:r>
          </w:p>
        </w:tc>
        <w:tc>
          <w:tcPr>
            <w:tcW w:w="2965" w:type="pct"/>
          </w:tcPr>
          <w:p w14:paraId="011BB179" w14:textId="09C6DB9E" w:rsidR="0006388B" w:rsidRPr="00935C37" w:rsidRDefault="00C13059" w:rsidP="000C67A1">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r w:rsidRPr="00A236EF" w:rsidDel="00C13059">
              <w:rPr>
                <w:sz w:val="22"/>
              </w:rPr>
              <w:t xml:space="preserve"> </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F94B61">
            <w:pPr>
              <w:pStyle w:val="TableText"/>
              <w:rPr>
                <w:sz w:val="22"/>
              </w:rPr>
            </w:pPr>
            <w:r w:rsidRPr="0093721B">
              <w:rPr>
                <w:sz w:val="22"/>
              </w:rPr>
              <w:t>Position reports to the</w:t>
            </w:r>
          </w:p>
        </w:tc>
        <w:tc>
          <w:tcPr>
            <w:tcW w:w="2965" w:type="pct"/>
          </w:tcPr>
          <w:p w14:paraId="7F8188DF" w14:textId="2CE3EB01" w:rsidR="00C45886" w:rsidRPr="0093721B" w:rsidRDefault="007C44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7C0636" w:rsidRDefault="00926BE4" w:rsidP="00F94B61">
            <w:pPr>
              <w:pStyle w:val="TableText"/>
              <w:rPr>
                <w:sz w:val="22"/>
              </w:rPr>
            </w:pPr>
            <w:r w:rsidRPr="007C0636">
              <w:rPr>
                <w:sz w:val="22"/>
              </w:rPr>
              <w:t>Client Focus – Internal</w:t>
            </w:r>
          </w:p>
        </w:tc>
        <w:tc>
          <w:tcPr>
            <w:tcW w:w="2965" w:type="pct"/>
          </w:tcPr>
          <w:p w14:paraId="2BFCB108" w14:textId="634AFD36" w:rsidR="00926BE4" w:rsidRPr="0093721B" w:rsidRDefault="001428D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0636">
              <w:rPr>
                <w:sz w:val="22"/>
              </w:rPr>
              <w:t>70</w:t>
            </w:r>
            <w:r w:rsidR="00F54F83" w:rsidRPr="007C0636">
              <w:rPr>
                <w:sz w:val="22"/>
              </w:rPr>
              <w:t>%</w:t>
            </w:r>
          </w:p>
        </w:tc>
      </w:tr>
      <w:tr w:rsidR="00926BE4" w:rsidRPr="007C0636"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7C0636" w:rsidRDefault="00926BE4" w:rsidP="00F94B61">
            <w:pPr>
              <w:pStyle w:val="TableText"/>
              <w:rPr>
                <w:sz w:val="22"/>
              </w:rPr>
            </w:pPr>
            <w:r w:rsidRPr="007C0636">
              <w:rPr>
                <w:sz w:val="22"/>
              </w:rPr>
              <w:t>Client Focus – External</w:t>
            </w:r>
          </w:p>
        </w:tc>
        <w:tc>
          <w:tcPr>
            <w:tcW w:w="2965" w:type="pct"/>
          </w:tcPr>
          <w:p w14:paraId="2385F1FC" w14:textId="3E7EA35C" w:rsidR="00926BE4" w:rsidRPr="007C0636" w:rsidRDefault="001428D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C0636">
              <w:rPr>
                <w:sz w:val="22"/>
              </w:rPr>
              <w:t>30</w:t>
            </w:r>
            <w:r w:rsidR="00F54F83" w:rsidRPr="007C0636">
              <w:rPr>
                <w:sz w:val="22"/>
              </w:rPr>
              <w:t>%</w:t>
            </w:r>
          </w:p>
        </w:tc>
      </w:tr>
      <w:tr w:rsidR="00194B1C" w:rsidRPr="007C0636"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7C0636" w:rsidRDefault="00C45886" w:rsidP="00F94B61">
            <w:pPr>
              <w:pStyle w:val="TableText"/>
              <w:rPr>
                <w:sz w:val="22"/>
              </w:rPr>
            </w:pPr>
            <w:r w:rsidRPr="007C0636">
              <w:rPr>
                <w:sz w:val="22"/>
              </w:rPr>
              <w:t>Number of Direct Reports</w:t>
            </w:r>
          </w:p>
        </w:tc>
        <w:tc>
          <w:tcPr>
            <w:tcW w:w="2965" w:type="pct"/>
          </w:tcPr>
          <w:p w14:paraId="3507BE53" w14:textId="77777777" w:rsidR="00194B1C" w:rsidRPr="007C063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0636">
              <w:rPr>
                <w:sz w:val="22"/>
              </w:rPr>
              <w:t>0</w:t>
            </w:r>
          </w:p>
        </w:tc>
      </w:tr>
      <w:tr w:rsidR="00194B1C" w:rsidRPr="007C0636"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7C0636" w:rsidRDefault="00C45886" w:rsidP="00F94B61">
            <w:pPr>
              <w:pStyle w:val="TableText"/>
              <w:rPr>
                <w:sz w:val="22"/>
              </w:rPr>
            </w:pPr>
            <w:r w:rsidRPr="007C0636">
              <w:rPr>
                <w:sz w:val="22"/>
              </w:rPr>
              <w:t>Enquire about this job</w:t>
            </w:r>
          </w:p>
        </w:tc>
        <w:tc>
          <w:tcPr>
            <w:tcW w:w="2965" w:type="pct"/>
          </w:tcPr>
          <w:p w14:paraId="289A01ED" w14:textId="3EBB5E74" w:rsidR="00194B1C" w:rsidRPr="007C0636" w:rsidRDefault="00C1305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7C4477" w:rsidRPr="007C0636">
              <w:rPr>
                <w:sz w:val="22"/>
              </w:rPr>
              <w:t>Kathy Avent</w:t>
            </w:r>
            <w:r w:rsidR="00F54F83" w:rsidRPr="007C0636">
              <w:rPr>
                <w:sz w:val="22"/>
              </w:rPr>
              <w:t xml:space="preserve"> via email at </w:t>
            </w:r>
            <w:r w:rsidR="007C4477" w:rsidRPr="007C0636">
              <w:rPr>
                <w:sz w:val="22"/>
              </w:rPr>
              <w:t>Kathy.</w:t>
            </w:r>
            <w:r>
              <w:rPr>
                <w:sz w:val="22"/>
              </w:rPr>
              <w:t>A</w:t>
            </w:r>
            <w:r w:rsidR="007C4477" w:rsidRPr="007C0636">
              <w:rPr>
                <w:sz w:val="22"/>
              </w:rPr>
              <w:t>vent</w:t>
            </w:r>
            <w:r w:rsidR="00F54F83" w:rsidRPr="007C0636">
              <w:rPr>
                <w:sz w:val="22"/>
              </w:rPr>
              <w:t xml:space="preserve">@csiro.au or phone +61 </w:t>
            </w:r>
            <w:r w:rsidR="007C4477" w:rsidRPr="007C0636">
              <w:rPr>
                <w:sz w:val="22"/>
              </w:rPr>
              <w:t>3 5227</w:t>
            </w:r>
            <w:r w:rsidR="00F54F83" w:rsidRPr="007C0636">
              <w:rPr>
                <w:sz w:val="22"/>
              </w:rPr>
              <w:t xml:space="preserve"> </w:t>
            </w:r>
            <w:r w:rsidR="007C0636" w:rsidRPr="007C0636">
              <w:rPr>
                <w:sz w:val="22"/>
              </w:rPr>
              <w:t>5555</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7C0636" w:rsidRDefault="00C45886" w:rsidP="00F94B61">
            <w:pPr>
              <w:pStyle w:val="TableText"/>
              <w:rPr>
                <w:sz w:val="22"/>
              </w:rPr>
            </w:pPr>
            <w:r w:rsidRPr="007C0636">
              <w:rPr>
                <w:sz w:val="22"/>
              </w:rPr>
              <w:t>How to apply</w:t>
            </w:r>
          </w:p>
        </w:tc>
        <w:tc>
          <w:tcPr>
            <w:tcW w:w="2965" w:type="pct"/>
          </w:tcPr>
          <w:p w14:paraId="0029D161" w14:textId="77777777" w:rsidR="00F54F83" w:rsidRPr="007C063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0636">
              <w:rPr>
                <w:sz w:val="22"/>
              </w:rPr>
              <w:t>Apply online a</w:t>
            </w:r>
            <w:r w:rsidR="006F78A3" w:rsidRPr="007C0636">
              <w:rPr>
                <w:sz w:val="22"/>
              </w:rPr>
              <w:t xml:space="preserve">t  </w:t>
            </w:r>
            <w:hyperlink r:id="rId11" w:history="1">
              <w:r w:rsidR="006F78A3" w:rsidRPr="007C0636">
                <w:rPr>
                  <w:rStyle w:val="Hyperlink"/>
                  <w:sz w:val="22"/>
                </w:rPr>
                <w:t>https://jobs.csiro.au/</w:t>
              </w:r>
            </w:hyperlink>
            <w:r w:rsidR="006F78A3" w:rsidRPr="007C0636">
              <w:rPr>
                <w:sz w:val="22"/>
              </w:rPr>
              <w:t xml:space="preserve"> </w:t>
            </w:r>
          </w:p>
          <w:p w14:paraId="5F5220B9" w14:textId="77777777" w:rsidR="00CB4BEC" w:rsidRPr="007C063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0636">
              <w:rPr>
                <w:sz w:val="22"/>
              </w:rPr>
              <w:t xml:space="preserve">Internal applicants please apply via </w:t>
            </w:r>
            <w:r w:rsidRPr="007C0636">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C0636">
              <w:rPr>
                <w:sz w:val="22"/>
              </w:rPr>
              <w:t xml:space="preserve">If you experience difficulties when applying, please email </w:t>
            </w:r>
            <w:hyperlink r:id="rId12" w:history="1">
              <w:r w:rsidRPr="007C0636">
                <w:rPr>
                  <w:rStyle w:val="Hyperlink"/>
                  <w:sz w:val="22"/>
                </w:rPr>
                <w:t>careers.online@csiro.au</w:t>
              </w:r>
            </w:hyperlink>
            <w:r w:rsidRPr="007C0636">
              <w:rPr>
                <w:sz w:val="22"/>
              </w:rPr>
              <w:t xml:space="preserve"> or call 1300 984 220.</w:t>
            </w:r>
          </w:p>
        </w:tc>
      </w:tr>
    </w:tbl>
    <w:p w14:paraId="4F965316" w14:textId="77777777" w:rsidR="005A5AEE" w:rsidRDefault="005A5AEE" w:rsidP="00D06E61">
      <w:pPr>
        <w:pStyle w:val="Heading3"/>
        <w:spacing w:after="0"/>
      </w:pPr>
    </w:p>
    <w:p w14:paraId="519262D0" w14:textId="1E521495" w:rsidR="00C97F03" w:rsidRPr="00C97F03" w:rsidRDefault="00C97F03" w:rsidP="00C97F03">
      <w:pPr>
        <w:pStyle w:val="paragraph"/>
        <w:spacing w:before="0" w:beforeAutospacing="0" w:after="0" w:afterAutospacing="0"/>
        <w:textAlignment w:val="baseline"/>
        <w:rPr>
          <w:rFonts w:asciiTheme="majorHAnsi" w:hAnsiTheme="majorHAnsi" w:cstheme="majorHAnsi"/>
          <w:sz w:val="26"/>
          <w:szCs w:val="26"/>
        </w:rPr>
      </w:pPr>
      <w:bookmarkStart w:id="1" w:name="_Hlk87367731"/>
      <w:r w:rsidRPr="00C97F03">
        <w:rPr>
          <w:rStyle w:val="normaltextrun"/>
          <w:rFonts w:asciiTheme="majorHAnsi" w:eastAsia="Calibri" w:hAnsiTheme="majorHAnsi" w:cstheme="majorHAnsi"/>
          <w:b/>
          <w:sz w:val="26"/>
          <w:szCs w:val="26"/>
        </w:rPr>
        <w:t>Acknowledgement of Country</w:t>
      </w:r>
    </w:p>
    <w:p w14:paraId="77E593C9" w14:textId="77777777" w:rsidR="00C97F03" w:rsidRPr="00C97F03" w:rsidRDefault="00C97F03" w:rsidP="000C67A1">
      <w:pPr>
        <w:pStyle w:val="paragraph"/>
        <w:spacing w:before="120" w:beforeAutospacing="0" w:after="120" w:afterAutospacing="0" w:line="264" w:lineRule="auto"/>
        <w:textAlignment w:val="baseline"/>
        <w:rPr>
          <w:rFonts w:asciiTheme="majorHAnsi" w:hAnsiTheme="majorHAnsi" w:cstheme="majorHAnsi"/>
        </w:rPr>
      </w:pPr>
      <w:r w:rsidRPr="00C97F03">
        <w:rPr>
          <w:rStyle w:val="normaltextrun"/>
          <w:rFonts w:asciiTheme="majorHAnsi" w:eastAsia="Calibri" w:hAnsiTheme="majorHAnsi" w:cstheme="majorHAnsi"/>
        </w:rPr>
        <w:t xml:space="preserve">CSIRO acknowledges the Traditional Owners of the land, </w:t>
      </w:r>
      <w:proofErr w:type="gramStart"/>
      <w:r w:rsidRPr="00C97F03">
        <w:rPr>
          <w:rStyle w:val="normaltextrun"/>
          <w:rFonts w:asciiTheme="majorHAnsi" w:eastAsia="Calibri" w:hAnsiTheme="majorHAnsi" w:cstheme="majorHAnsi"/>
        </w:rPr>
        <w:t>sea</w:t>
      </w:r>
      <w:proofErr w:type="gramEnd"/>
      <w:r w:rsidRPr="00C97F03">
        <w:rPr>
          <w:rStyle w:val="normaltextrun"/>
          <w:rFonts w:asciiTheme="majorHAnsi" w:eastAsia="Calibri" w:hAnsiTheme="majorHAnsi" w:cstheme="majorHAnsi"/>
        </w:rPr>
        <w:t xml:space="preserve"> and waters, of the area that we live and work on across Australia. We acknowledge their continuing connection to their culture and pay our respects to their Elders past and present. View our </w:t>
      </w:r>
      <w:hyperlink r:id="rId13" w:tgtFrame="_blank" w:history="1">
        <w:r w:rsidRPr="00C97F03">
          <w:rPr>
            <w:rStyle w:val="normaltextrun"/>
            <w:rFonts w:asciiTheme="majorHAnsi" w:eastAsia="Calibri" w:hAnsiTheme="majorHAnsi" w:cstheme="majorHAnsi"/>
            <w:color w:val="0563C1"/>
          </w:rPr>
          <w:t>vision towards reconciliation</w:t>
        </w:r>
      </w:hyperlink>
      <w:r w:rsidRPr="00C97F03">
        <w:rPr>
          <w:rStyle w:val="normaltextrun"/>
          <w:rFonts w:asciiTheme="majorHAnsi" w:eastAsia="Calibri" w:hAnsiTheme="majorHAnsi" w:cstheme="majorHAnsi"/>
        </w:rPr>
        <w:t>.</w:t>
      </w:r>
    </w:p>
    <w:bookmarkEnd w:id="1"/>
    <w:p w14:paraId="3C042B79" w14:textId="77777777" w:rsidR="006246C0" w:rsidRPr="00674783" w:rsidRDefault="00B50C20" w:rsidP="00D06E61">
      <w:pPr>
        <w:pStyle w:val="Heading3"/>
        <w:spacing w:after="0"/>
      </w:pPr>
      <w:r>
        <w:lastRenderedPageBreak/>
        <w:t>Role Overview</w:t>
      </w:r>
    </w:p>
    <w:p w14:paraId="07048FA3" w14:textId="4DEC344F"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A06C452" w:rsidR="002F3653" w:rsidRDefault="002F3653" w:rsidP="002F3653">
      <w:pPr>
        <w:spacing w:after="180"/>
        <w:jc w:val="both"/>
        <w:rPr>
          <w:b/>
        </w:rPr>
      </w:pPr>
      <w:r w:rsidRPr="002F3653">
        <w:t xml:space="preserve">CERC Fellows </w:t>
      </w:r>
      <w:r w:rsidRPr="002F3653">
        <w:rPr>
          <w:b/>
        </w:rPr>
        <w:t xml:space="preserve">are appointed for three years </w:t>
      </w:r>
      <w:r w:rsidR="00534F96">
        <w:rPr>
          <w:b/>
        </w:rPr>
        <w:t>full-</w:t>
      </w:r>
      <w:r w:rsidRPr="002F3653">
        <w:rPr>
          <w:b/>
        </w:rPr>
        <w:t xml:space="preserve">time </w:t>
      </w:r>
      <w:r w:rsidR="00534F96">
        <w:rPr>
          <w:b/>
        </w:rPr>
        <w:t xml:space="preserve">or </w:t>
      </w:r>
      <w:r w:rsidRPr="002F3653">
        <w:rPr>
          <w:b/>
        </w:rPr>
        <w:t xml:space="preserve">equivalent. </w:t>
      </w:r>
    </w:p>
    <w:p w14:paraId="70A667CF" w14:textId="3CBEB814" w:rsidR="007C4477" w:rsidRDefault="007C4477" w:rsidP="002F3653">
      <w:pPr>
        <w:spacing w:after="180"/>
        <w:jc w:val="both"/>
        <w:rPr>
          <w:szCs w:val="24"/>
        </w:rPr>
      </w:pPr>
      <w:r>
        <w:rPr>
          <w:b/>
        </w:rPr>
        <w:t xml:space="preserve">There are several CERC Postdoctoral Fellow positions available at ACDP. </w:t>
      </w:r>
      <w:bookmarkStart w:id="3" w:name="_Hlk100049669"/>
      <w:r>
        <w:rPr>
          <w:szCs w:val="24"/>
        </w:rPr>
        <w:t>ACDP’s</w:t>
      </w:r>
      <w:r w:rsidRPr="007A1B80">
        <w:rPr>
          <w:szCs w:val="24"/>
        </w:rPr>
        <w:t xml:space="preserve"> purpose, in preparedness, prevention, detection and response to exotic disease threats affecting animals and </w:t>
      </w:r>
      <w:r w:rsidR="00D55D25">
        <w:rPr>
          <w:szCs w:val="24"/>
        </w:rPr>
        <w:t>people</w:t>
      </w:r>
      <w:r w:rsidRPr="007A1B80">
        <w:rPr>
          <w:szCs w:val="24"/>
        </w:rPr>
        <w:t>, is primarily delivered through the science it conceives and performs, along with managing the unique facility that is the Australian Centre for Disease Preparedness (ACDP). This delivers directly to three of CSIROs</w:t>
      </w:r>
      <w:r w:rsidRPr="007A1B80">
        <w:rPr>
          <w:b/>
          <w:szCs w:val="24"/>
        </w:rPr>
        <w:t xml:space="preserve"> </w:t>
      </w:r>
      <w:r w:rsidRPr="007A1B80">
        <w:rPr>
          <w:szCs w:val="24"/>
        </w:rPr>
        <w:t>challenges - a Secure Australia and Region, Food Security &amp; Quality and Health &amp; Wellbeing</w:t>
      </w:r>
      <w:r>
        <w:rPr>
          <w:szCs w:val="24"/>
        </w:rPr>
        <w:t xml:space="preserve">. </w:t>
      </w:r>
    </w:p>
    <w:bookmarkEnd w:id="3"/>
    <w:p w14:paraId="187D61A3" w14:textId="2016AB15" w:rsidR="00846A8D" w:rsidRDefault="007C4477" w:rsidP="001428D9">
      <w:pPr>
        <w:jc w:val="both"/>
      </w:pPr>
      <w:r w:rsidRPr="007C4477">
        <w:rPr>
          <w:szCs w:val="24"/>
        </w:rPr>
        <w:t xml:space="preserve">Our strategy aims to combine both an extension of our capacity and capability, through development of new relationships with government, </w:t>
      </w:r>
      <w:proofErr w:type="gramStart"/>
      <w:r w:rsidRPr="007C4477">
        <w:rPr>
          <w:szCs w:val="24"/>
        </w:rPr>
        <w:t>academia</w:t>
      </w:r>
      <w:proofErr w:type="gramEnd"/>
      <w:r w:rsidRPr="007C4477">
        <w:rPr>
          <w:szCs w:val="24"/>
        </w:rPr>
        <w:t xml:space="preserve"> and industry, along with consolidation of activity in animal and zoonotic diseases, to increase critical mass and maximise the value of our combined resource.  </w:t>
      </w:r>
      <w:bookmarkStart w:id="4" w:name="_Hlk100049689"/>
      <w:r w:rsidR="00C13059">
        <w:t>The CERC Postdoctoral Fellows will aim</w:t>
      </w:r>
      <w:r w:rsidR="00846A8D">
        <w:t xml:space="preserve"> to increase our research capability in Animal Infectious Diseases Research. </w:t>
      </w:r>
      <w:r w:rsidR="00C13059">
        <w:t>The CERC Fellows will have</w:t>
      </w:r>
      <w:r w:rsidR="00846A8D">
        <w:t xml:space="preserve"> key capabilities in one or more of the following animal infectious diseases research areas:</w:t>
      </w:r>
    </w:p>
    <w:p w14:paraId="36CDAD52" w14:textId="77777777" w:rsidR="007C0636" w:rsidRDefault="007C0636" w:rsidP="007C0636">
      <w:pPr>
        <w:pStyle w:val="ListParagraph"/>
        <w:numPr>
          <w:ilvl w:val="0"/>
          <w:numId w:val="39"/>
        </w:numPr>
        <w:spacing w:before="0" w:after="160" w:line="259" w:lineRule="auto"/>
      </w:pPr>
      <w:r>
        <w:t>Virology</w:t>
      </w:r>
    </w:p>
    <w:p w14:paraId="0B7EEE65" w14:textId="77777777" w:rsidR="007C0636" w:rsidRDefault="007C0636" w:rsidP="007C0636">
      <w:pPr>
        <w:pStyle w:val="ListParagraph"/>
        <w:numPr>
          <w:ilvl w:val="0"/>
          <w:numId w:val="39"/>
        </w:numPr>
        <w:spacing w:before="0" w:after="160" w:line="259" w:lineRule="auto"/>
      </w:pPr>
      <w:r>
        <w:t>Molecular Biology</w:t>
      </w:r>
    </w:p>
    <w:p w14:paraId="1F8C56BC" w14:textId="77777777" w:rsidR="007C0636" w:rsidRDefault="007C0636" w:rsidP="007C0636">
      <w:pPr>
        <w:pStyle w:val="ListParagraph"/>
        <w:numPr>
          <w:ilvl w:val="0"/>
          <w:numId w:val="39"/>
        </w:numPr>
        <w:spacing w:before="0" w:after="160" w:line="259" w:lineRule="auto"/>
      </w:pPr>
      <w:r>
        <w:t>Bioinformatics</w:t>
      </w:r>
    </w:p>
    <w:p w14:paraId="65E82D0E" w14:textId="77777777" w:rsidR="007C0636" w:rsidRDefault="007C0636" w:rsidP="007C0636">
      <w:pPr>
        <w:pStyle w:val="ListParagraph"/>
        <w:numPr>
          <w:ilvl w:val="0"/>
          <w:numId w:val="39"/>
        </w:numPr>
        <w:spacing w:before="0" w:after="160" w:line="259" w:lineRule="auto"/>
      </w:pPr>
      <w:r>
        <w:t>Phylogenetics and Virus Evolution</w:t>
      </w:r>
    </w:p>
    <w:p w14:paraId="17156C39" w14:textId="77777777" w:rsidR="007C0636" w:rsidRDefault="007C0636" w:rsidP="007C0636">
      <w:pPr>
        <w:pStyle w:val="ListParagraph"/>
        <w:numPr>
          <w:ilvl w:val="0"/>
          <w:numId w:val="39"/>
        </w:numPr>
        <w:spacing w:before="0" w:after="160" w:line="259" w:lineRule="auto"/>
      </w:pPr>
      <w:r w:rsidRPr="00675791">
        <w:rPr>
          <w:i/>
          <w:iCs/>
        </w:rPr>
        <w:t>In vivo</w:t>
      </w:r>
      <w:r>
        <w:t xml:space="preserve"> animal models of disease</w:t>
      </w:r>
    </w:p>
    <w:p w14:paraId="2BE57D08" w14:textId="77777777" w:rsidR="007C0636" w:rsidRDefault="007C0636" w:rsidP="007C0636">
      <w:pPr>
        <w:pStyle w:val="ListParagraph"/>
        <w:numPr>
          <w:ilvl w:val="0"/>
          <w:numId w:val="39"/>
        </w:numPr>
        <w:spacing w:before="0" w:after="160" w:line="259" w:lineRule="auto"/>
      </w:pPr>
      <w:r w:rsidRPr="00675791">
        <w:rPr>
          <w:i/>
          <w:iCs/>
        </w:rPr>
        <w:t>Ex vivo</w:t>
      </w:r>
      <w:r>
        <w:t xml:space="preserve"> models</w:t>
      </w:r>
    </w:p>
    <w:p w14:paraId="1DFA69D6" w14:textId="77777777" w:rsidR="007C0636" w:rsidRDefault="007C0636" w:rsidP="007C0636">
      <w:pPr>
        <w:pStyle w:val="ListParagraph"/>
        <w:numPr>
          <w:ilvl w:val="0"/>
          <w:numId w:val="39"/>
        </w:numPr>
        <w:spacing w:before="0" w:after="160" w:line="259" w:lineRule="auto"/>
      </w:pPr>
      <w:r>
        <w:t>Pathogenesis</w:t>
      </w:r>
    </w:p>
    <w:p w14:paraId="2ABAE69F" w14:textId="77777777" w:rsidR="007C0636" w:rsidRDefault="007C0636" w:rsidP="007C0636">
      <w:pPr>
        <w:pStyle w:val="ListParagraph"/>
        <w:numPr>
          <w:ilvl w:val="0"/>
          <w:numId w:val="39"/>
        </w:numPr>
        <w:spacing w:before="0" w:after="160" w:line="259" w:lineRule="auto"/>
      </w:pPr>
      <w:r>
        <w:t>Electron Microscopy</w:t>
      </w:r>
    </w:p>
    <w:p w14:paraId="5F2E3E39" w14:textId="77777777" w:rsidR="007C0636" w:rsidRDefault="007C0636" w:rsidP="007C0636">
      <w:pPr>
        <w:pStyle w:val="ListParagraph"/>
        <w:numPr>
          <w:ilvl w:val="0"/>
          <w:numId w:val="39"/>
        </w:numPr>
        <w:spacing w:before="0" w:after="160" w:line="259" w:lineRule="auto"/>
      </w:pPr>
      <w:r>
        <w:t>Immunology</w:t>
      </w:r>
    </w:p>
    <w:p w14:paraId="0C15F018" w14:textId="77777777" w:rsidR="007C0636" w:rsidRDefault="007C0636" w:rsidP="007C0636">
      <w:pPr>
        <w:pStyle w:val="ListParagraph"/>
        <w:numPr>
          <w:ilvl w:val="0"/>
          <w:numId w:val="39"/>
        </w:numPr>
        <w:spacing w:before="0" w:after="160" w:line="259" w:lineRule="auto"/>
      </w:pPr>
      <w:r>
        <w:t>Vaccine Development</w:t>
      </w:r>
    </w:p>
    <w:p w14:paraId="40A884F6" w14:textId="77777777" w:rsidR="007C0636" w:rsidRDefault="007C0636" w:rsidP="007C0636">
      <w:pPr>
        <w:pStyle w:val="ListParagraph"/>
        <w:numPr>
          <w:ilvl w:val="0"/>
          <w:numId w:val="39"/>
        </w:numPr>
        <w:spacing w:before="0" w:after="160" w:line="259" w:lineRule="auto"/>
        <w:rPr>
          <w:rFonts w:eastAsiaTheme="minorEastAsia"/>
        </w:rPr>
      </w:pPr>
      <w:r>
        <w:t>Diagnostic Test Validation Science</w:t>
      </w:r>
    </w:p>
    <w:p w14:paraId="1C01ACB5" w14:textId="77777777" w:rsidR="007C0636" w:rsidRDefault="007C0636" w:rsidP="007C0636">
      <w:pPr>
        <w:pStyle w:val="ListParagraph"/>
        <w:numPr>
          <w:ilvl w:val="0"/>
          <w:numId w:val="39"/>
        </w:numPr>
        <w:spacing w:before="0" w:after="160" w:line="259" w:lineRule="auto"/>
      </w:pPr>
      <w:r>
        <w:t>Programming</w:t>
      </w:r>
    </w:p>
    <w:p w14:paraId="074B5F58" w14:textId="77777777" w:rsidR="007C0636" w:rsidRDefault="007C0636" w:rsidP="007C0636">
      <w:pPr>
        <w:pStyle w:val="ListParagraph"/>
        <w:numPr>
          <w:ilvl w:val="0"/>
          <w:numId w:val="39"/>
        </w:numPr>
        <w:spacing w:before="0" w:after="160" w:line="259" w:lineRule="auto"/>
      </w:pPr>
      <w:r>
        <w:t>Biostatistics</w:t>
      </w:r>
    </w:p>
    <w:bookmarkEnd w:id="4"/>
    <w:p w14:paraId="7195604C" w14:textId="77777777" w:rsidR="007C0636" w:rsidRDefault="007C0636" w:rsidP="007C0636"/>
    <w:p w14:paraId="0A9C3FB2" w14:textId="51134771" w:rsidR="007C0636" w:rsidRPr="006F2137" w:rsidRDefault="007C0636" w:rsidP="007C0636">
      <w:pPr>
        <w:rPr>
          <w:b/>
          <w:bCs/>
        </w:rPr>
      </w:pPr>
      <w:r w:rsidRPr="006F2137">
        <w:rPr>
          <w:b/>
          <w:bCs/>
        </w:rPr>
        <w:lastRenderedPageBreak/>
        <w:t xml:space="preserve">Specific </w:t>
      </w:r>
      <w:r w:rsidR="00C13059">
        <w:rPr>
          <w:b/>
          <w:bCs/>
        </w:rPr>
        <w:t>P</w:t>
      </w:r>
      <w:r w:rsidRPr="006F2137">
        <w:rPr>
          <w:b/>
          <w:bCs/>
        </w:rPr>
        <w:t xml:space="preserve">roject </w:t>
      </w:r>
      <w:r w:rsidR="00C13059">
        <w:rPr>
          <w:b/>
          <w:bCs/>
        </w:rPr>
        <w:t>O</w:t>
      </w:r>
      <w:r w:rsidRPr="006F2137">
        <w:rPr>
          <w:b/>
          <w:bCs/>
        </w:rPr>
        <w:t>pportunities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421"/>
        <w:gridCol w:w="2843"/>
        <w:gridCol w:w="6364"/>
      </w:tblGrid>
      <w:tr w:rsidR="007C0636" w:rsidRPr="006F2137" w14:paraId="240FC8F5" w14:textId="77777777" w:rsidTr="00B8027F">
        <w:tc>
          <w:tcPr>
            <w:tcW w:w="421" w:type="dxa"/>
            <w:vAlign w:val="center"/>
          </w:tcPr>
          <w:p w14:paraId="27443B59"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t>1</w:t>
            </w:r>
          </w:p>
          <w:p w14:paraId="7FA59B32" w14:textId="77777777" w:rsidR="007C0636" w:rsidRPr="002D13BA" w:rsidRDefault="007C0636" w:rsidP="00B8027F">
            <w:pPr>
              <w:spacing w:after="0" w:line="240" w:lineRule="auto"/>
              <w:jc w:val="center"/>
              <w:rPr>
                <w:rFonts w:eastAsia="Times New Roman" w:cs="Calibri"/>
                <w:sz w:val="16"/>
                <w:szCs w:val="16"/>
                <w:highlight w:val="green"/>
              </w:rPr>
            </w:pPr>
          </w:p>
        </w:tc>
        <w:tc>
          <w:tcPr>
            <w:tcW w:w="2843" w:type="dxa"/>
            <w:vAlign w:val="center"/>
            <w:hideMark/>
          </w:tcPr>
          <w:p w14:paraId="0F3FD384" w14:textId="77777777" w:rsidR="007C0636" w:rsidRPr="00FF3C7D" w:rsidRDefault="007C0636" w:rsidP="00B8027F">
            <w:pPr>
              <w:spacing w:after="0" w:line="240" w:lineRule="auto"/>
              <w:rPr>
                <w:rFonts w:eastAsia="Times New Roman" w:cs="Calibri"/>
                <w:sz w:val="16"/>
                <w:szCs w:val="16"/>
              </w:rPr>
            </w:pPr>
            <w:r w:rsidRPr="00FF3C7D">
              <w:rPr>
                <w:rFonts w:eastAsia="Times New Roman" w:cs="Calibri"/>
                <w:sz w:val="16"/>
                <w:szCs w:val="16"/>
              </w:rPr>
              <w:t xml:space="preserve">Protecting Australia’s biosecurity: Preventing and rapidly responding to incursions of </w:t>
            </w:r>
            <w:r w:rsidRPr="00FF3C7D">
              <w:rPr>
                <w:rFonts w:eastAsia="Times New Roman" w:cs="Calibri"/>
                <w:b/>
                <w:bCs/>
                <w:sz w:val="16"/>
                <w:szCs w:val="16"/>
              </w:rPr>
              <w:t>African swine fever</w:t>
            </w:r>
            <w:r w:rsidRPr="00FF3C7D">
              <w:rPr>
                <w:rFonts w:eastAsia="Times New Roman" w:cs="Calibri"/>
                <w:sz w:val="16"/>
                <w:szCs w:val="16"/>
              </w:rPr>
              <w:t xml:space="preserve"> </w:t>
            </w:r>
            <w:r>
              <w:rPr>
                <w:rFonts w:eastAsia="Times New Roman" w:cs="Calibri"/>
                <w:sz w:val="16"/>
                <w:szCs w:val="16"/>
              </w:rPr>
              <w:t xml:space="preserve">(ASF) </w:t>
            </w:r>
            <w:r w:rsidRPr="00FF3C7D">
              <w:rPr>
                <w:rFonts w:eastAsia="Times New Roman" w:cs="Calibri"/>
                <w:sz w:val="16"/>
                <w:szCs w:val="16"/>
              </w:rPr>
              <w:t>virus through improved vaccination strategies</w:t>
            </w:r>
          </w:p>
          <w:p w14:paraId="1EA2164B" w14:textId="77777777" w:rsidR="007C0636" w:rsidRPr="00FF3C7D" w:rsidRDefault="007C0636" w:rsidP="00B8027F">
            <w:pPr>
              <w:spacing w:after="0" w:line="240" w:lineRule="auto"/>
              <w:jc w:val="both"/>
              <w:rPr>
                <w:rFonts w:eastAsia="Times New Roman" w:cs="Calibri"/>
                <w:sz w:val="16"/>
                <w:szCs w:val="16"/>
              </w:rPr>
            </w:pPr>
          </w:p>
        </w:tc>
        <w:tc>
          <w:tcPr>
            <w:tcW w:w="0" w:type="auto"/>
            <w:vAlign w:val="center"/>
            <w:hideMark/>
          </w:tcPr>
          <w:p w14:paraId="4B3DFC95" w14:textId="77777777" w:rsidR="007C0636" w:rsidRPr="00FF3C7D" w:rsidRDefault="007C0636" w:rsidP="00B8027F">
            <w:pPr>
              <w:spacing w:before="60" w:after="60" w:line="240" w:lineRule="auto"/>
              <w:jc w:val="both"/>
              <w:rPr>
                <w:rFonts w:eastAsia="Times New Roman" w:cs="Calibri"/>
                <w:sz w:val="16"/>
                <w:szCs w:val="16"/>
              </w:rPr>
            </w:pPr>
            <w:r w:rsidRPr="00FF3C7D">
              <w:rPr>
                <w:rFonts w:eastAsia="Times New Roman" w:cs="Calibri"/>
                <w:sz w:val="16"/>
                <w:szCs w:val="16"/>
              </w:rPr>
              <w:t>In this project, the ASF virus-host- interactions will be studied to (</w:t>
            </w:r>
            <w:proofErr w:type="spellStart"/>
            <w:r w:rsidRPr="00FF3C7D">
              <w:rPr>
                <w:rFonts w:eastAsia="Times New Roman" w:cs="Calibri"/>
                <w:sz w:val="16"/>
                <w:szCs w:val="16"/>
              </w:rPr>
              <w:t>i</w:t>
            </w:r>
            <w:proofErr w:type="spellEnd"/>
            <w:r w:rsidRPr="00FF3C7D">
              <w:rPr>
                <w:rFonts w:eastAsia="Times New Roman" w:cs="Calibri"/>
                <w:sz w:val="16"/>
                <w:szCs w:val="16"/>
              </w:rPr>
              <w:t>) further understand ASF virus pathogenesis and (ii) provide information for the development of novel antiviral and vaccine approaches. This integrated state-of-the-art screening approach, combined with our expertise in immunology, bioinformatics and virology, and our access to high containment facilities (allowing the study of ASF) provides a unique opportunity to develop this cutting-edge area of research to advance novel control strategies against this emerging viral threat.</w:t>
            </w:r>
          </w:p>
        </w:tc>
      </w:tr>
      <w:tr w:rsidR="007C0636" w:rsidRPr="006F2137" w14:paraId="0DA62BF8" w14:textId="77777777" w:rsidTr="00B8027F">
        <w:tc>
          <w:tcPr>
            <w:tcW w:w="421" w:type="dxa"/>
            <w:shd w:val="clear" w:color="auto" w:fill="auto"/>
            <w:vAlign w:val="center"/>
          </w:tcPr>
          <w:p w14:paraId="0C9D16E7"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t>2</w:t>
            </w:r>
          </w:p>
        </w:tc>
        <w:tc>
          <w:tcPr>
            <w:tcW w:w="2843" w:type="dxa"/>
            <w:vAlign w:val="center"/>
            <w:hideMark/>
          </w:tcPr>
          <w:p w14:paraId="018462BB" w14:textId="77777777" w:rsidR="007C0636" w:rsidRPr="00FF3C7D" w:rsidRDefault="007C0636" w:rsidP="00B8027F">
            <w:pPr>
              <w:spacing w:after="0" w:line="240" w:lineRule="auto"/>
              <w:jc w:val="both"/>
              <w:rPr>
                <w:rFonts w:eastAsia="Times New Roman" w:cs="Calibri"/>
                <w:sz w:val="16"/>
                <w:szCs w:val="16"/>
              </w:rPr>
            </w:pPr>
            <w:r w:rsidRPr="5DBF89E4">
              <w:rPr>
                <w:rFonts w:eastAsia="Times New Roman" w:cs="Calibri"/>
                <w:color w:val="000000" w:themeColor="text1"/>
                <w:sz w:val="16"/>
                <w:szCs w:val="16"/>
              </w:rPr>
              <w:t xml:space="preserve">Identifying new ways to assess post vaccination antibody titres in </w:t>
            </w:r>
            <w:r>
              <w:rPr>
                <w:rFonts w:eastAsia="Times New Roman" w:cs="Calibri"/>
                <w:b/>
                <w:bCs/>
                <w:color w:val="000000" w:themeColor="text1"/>
                <w:sz w:val="16"/>
                <w:szCs w:val="16"/>
              </w:rPr>
              <w:t>Hendra vir</w:t>
            </w:r>
            <w:r w:rsidRPr="00675791">
              <w:rPr>
                <w:rFonts w:eastAsia="Times New Roman" w:cs="Calibri"/>
                <w:b/>
                <w:bCs/>
                <w:color w:val="000000" w:themeColor="text1"/>
                <w:sz w:val="16"/>
                <w:szCs w:val="16"/>
              </w:rPr>
              <w:t>us</w:t>
            </w:r>
            <w:r>
              <w:rPr>
                <w:rFonts w:eastAsia="Times New Roman" w:cs="Calibri"/>
                <w:color w:val="000000" w:themeColor="text1"/>
                <w:sz w:val="16"/>
                <w:szCs w:val="16"/>
              </w:rPr>
              <w:t xml:space="preserve"> (</w:t>
            </w:r>
            <w:proofErr w:type="spellStart"/>
            <w:r w:rsidRPr="5DBF89E4">
              <w:rPr>
                <w:rFonts w:eastAsia="Times New Roman" w:cs="Calibri"/>
                <w:color w:val="000000" w:themeColor="text1"/>
                <w:sz w:val="16"/>
                <w:szCs w:val="16"/>
              </w:rPr>
              <w:t>HeV</w:t>
            </w:r>
            <w:proofErr w:type="spellEnd"/>
            <w:r>
              <w:rPr>
                <w:rFonts w:eastAsia="Times New Roman" w:cs="Calibri"/>
                <w:color w:val="000000" w:themeColor="text1"/>
                <w:sz w:val="16"/>
                <w:szCs w:val="16"/>
              </w:rPr>
              <w:t>)</w:t>
            </w:r>
            <w:r w:rsidRPr="5DBF89E4">
              <w:rPr>
                <w:rFonts w:eastAsia="Times New Roman" w:cs="Calibri"/>
                <w:color w:val="000000" w:themeColor="text1"/>
                <w:sz w:val="16"/>
                <w:szCs w:val="16"/>
              </w:rPr>
              <w:t xml:space="preserve"> vaccinated horses</w:t>
            </w:r>
          </w:p>
        </w:tc>
        <w:tc>
          <w:tcPr>
            <w:tcW w:w="0" w:type="auto"/>
            <w:vAlign w:val="center"/>
            <w:hideMark/>
          </w:tcPr>
          <w:p w14:paraId="4ECC45FF" w14:textId="77777777" w:rsidR="007C0636" w:rsidRPr="000206E7" w:rsidRDefault="007C0636" w:rsidP="00B8027F">
            <w:pPr>
              <w:spacing w:before="60" w:after="60" w:line="240" w:lineRule="auto"/>
              <w:jc w:val="both"/>
              <w:rPr>
                <w:rFonts w:eastAsia="Times New Roman" w:cs="Calibri"/>
                <w:color w:val="000000" w:themeColor="text1"/>
                <w:sz w:val="16"/>
                <w:szCs w:val="16"/>
              </w:rPr>
            </w:pPr>
            <w:r w:rsidRPr="5DBF89E4">
              <w:rPr>
                <w:rFonts w:eastAsia="Times New Roman" w:cs="Calibri"/>
                <w:color w:val="000000" w:themeColor="text1"/>
                <w:sz w:val="16"/>
                <w:szCs w:val="16"/>
              </w:rPr>
              <w:t xml:space="preserve">Research has showed that the </w:t>
            </w:r>
            <w:proofErr w:type="spellStart"/>
            <w:r w:rsidRPr="5DBF89E4">
              <w:rPr>
                <w:rFonts w:eastAsia="Times New Roman" w:cs="Calibri"/>
                <w:color w:val="000000" w:themeColor="text1"/>
                <w:sz w:val="16"/>
                <w:szCs w:val="16"/>
              </w:rPr>
              <w:t>HeV</w:t>
            </w:r>
            <w:proofErr w:type="spellEnd"/>
            <w:r w:rsidRPr="5DBF89E4">
              <w:rPr>
                <w:rFonts w:eastAsia="Times New Roman" w:cs="Calibri"/>
                <w:color w:val="000000" w:themeColor="text1"/>
                <w:sz w:val="16"/>
                <w:szCs w:val="16"/>
              </w:rPr>
              <w:t xml:space="preserve"> vaccine is very effective at inducing neutralising antibody titres in horses, but it has also shown how difficult it is to compare these titres. </w:t>
            </w:r>
            <w:proofErr w:type="gramStart"/>
            <w:r w:rsidRPr="5DBF89E4">
              <w:rPr>
                <w:rFonts w:eastAsia="Times New Roman" w:cs="Calibri"/>
                <w:color w:val="000000" w:themeColor="text1"/>
                <w:sz w:val="16"/>
                <w:szCs w:val="16"/>
              </w:rPr>
              <w:t>In order to</w:t>
            </w:r>
            <w:proofErr w:type="gramEnd"/>
            <w:r w:rsidRPr="5DBF89E4">
              <w:rPr>
                <w:rFonts w:eastAsia="Times New Roman" w:cs="Calibri"/>
                <w:color w:val="000000" w:themeColor="text1"/>
                <w:sz w:val="16"/>
                <w:szCs w:val="16"/>
              </w:rPr>
              <w:t xml:space="preserve"> allow the ongoing assessment of the </w:t>
            </w:r>
            <w:proofErr w:type="spellStart"/>
            <w:r w:rsidRPr="5DBF89E4">
              <w:rPr>
                <w:rFonts w:eastAsia="Times New Roman" w:cs="Calibri"/>
                <w:color w:val="000000" w:themeColor="text1"/>
                <w:sz w:val="16"/>
                <w:szCs w:val="16"/>
              </w:rPr>
              <w:t>HeV</w:t>
            </w:r>
            <w:proofErr w:type="spellEnd"/>
            <w:r w:rsidRPr="5DBF89E4">
              <w:rPr>
                <w:rFonts w:eastAsia="Times New Roman" w:cs="Calibri"/>
                <w:color w:val="000000" w:themeColor="text1"/>
                <w:sz w:val="16"/>
                <w:szCs w:val="16"/>
              </w:rPr>
              <w:t xml:space="preserve"> vaccine in the field, we need better diagnostic tools. This project will explore new ways to assess post vaccination responses.  </w:t>
            </w:r>
          </w:p>
        </w:tc>
      </w:tr>
      <w:tr w:rsidR="007C0636" w:rsidRPr="006F2137" w14:paraId="113F6FFC" w14:textId="77777777" w:rsidTr="00B8027F">
        <w:tc>
          <w:tcPr>
            <w:tcW w:w="421" w:type="dxa"/>
            <w:shd w:val="clear" w:color="auto" w:fill="auto"/>
            <w:vAlign w:val="center"/>
          </w:tcPr>
          <w:p w14:paraId="3AF1905A"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t>3</w:t>
            </w:r>
          </w:p>
        </w:tc>
        <w:tc>
          <w:tcPr>
            <w:tcW w:w="2843" w:type="dxa"/>
            <w:vAlign w:val="center"/>
          </w:tcPr>
          <w:p w14:paraId="603B9C91" w14:textId="77777777" w:rsidR="007C0636" w:rsidRPr="00FF3C7D" w:rsidRDefault="007C0636" w:rsidP="00B8027F">
            <w:pPr>
              <w:spacing w:after="0" w:line="240" w:lineRule="auto"/>
              <w:jc w:val="both"/>
              <w:rPr>
                <w:rFonts w:eastAsia="Times New Roman" w:cs="Calibri"/>
                <w:sz w:val="16"/>
                <w:szCs w:val="16"/>
              </w:rPr>
            </w:pPr>
            <w:r w:rsidRPr="00FF3C7D">
              <w:rPr>
                <w:rFonts w:eastAsia="Times New Roman" w:cs="Calibri"/>
                <w:sz w:val="16"/>
                <w:szCs w:val="16"/>
              </w:rPr>
              <w:t xml:space="preserve">Cross-species (amphibians and finfish) pathogenicity trials with </w:t>
            </w:r>
            <w:r w:rsidRPr="00675791">
              <w:rPr>
                <w:rFonts w:cs="Calibri"/>
                <w:b/>
                <w:bCs/>
                <w:sz w:val="16"/>
                <w:szCs w:val="16"/>
              </w:rPr>
              <w:t>Bohle iridovirus</w:t>
            </w:r>
            <w:r w:rsidRPr="006B3974">
              <w:rPr>
                <w:rFonts w:cs="Calibri"/>
                <w:sz w:val="16"/>
                <w:szCs w:val="16"/>
              </w:rPr>
              <w:t xml:space="preserve"> (BIV) and </w:t>
            </w:r>
            <w:proofErr w:type="spellStart"/>
            <w:r w:rsidRPr="00675791">
              <w:rPr>
                <w:rFonts w:cs="Calibri"/>
                <w:b/>
                <w:bCs/>
                <w:sz w:val="16"/>
                <w:szCs w:val="16"/>
              </w:rPr>
              <w:t>Mahafee</w:t>
            </w:r>
            <w:proofErr w:type="spellEnd"/>
            <w:r w:rsidRPr="00675791">
              <w:rPr>
                <w:rFonts w:cs="Calibri"/>
                <w:b/>
                <w:bCs/>
                <w:sz w:val="16"/>
                <w:szCs w:val="16"/>
              </w:rPr>
              <w:t xml:space="preserve"> road virus</w:t>
            </w:r>
            <w:r w:rsidRPr="006B3974">
              <w:rPr>
                <w:rFonts w:cs="Calibri"/>
                <w:sz w:val="16"/>
                <w:szCs w:val="16"/>
              </w:rPr>
              <w:t xml:space="preserve"> (MHRV) </w:t>
            </w:r>
            <w:r w:rsidRPr="00FF3C7D">
              <w:rPr>
                <w:rFonts w:eastAsia="Times New Roman" w:cs="Calibri"/>
                <w:sz w:val="16"/>
                <w:szCs w:val="16"/>
              </w:rPr>
              <w:t xml:space="preserve">and </w:t>
            </w:r>
            <w:r w:rsidRPr="00675791">
              <w:rPr>
                <w:rFonts w:cs="Calibri"/>
                <w:b/>
                <w:bCs/>
                <w:sz w:val="16"/>
                <w:szCs w:val="16"/>
              </w:rPr>
              <w:t>epizootic haematopoietic necrosis virus</w:t>
            </w:r>
            <w:r w:rsidRPr="00FF3C7D">
              <w:rPr>
                <w:rFonts w:eastAsia="Times New Roman" w:cs="Calibri"/>
                <w:sz w:val="16"/>
                <w:szCs w:val="16"/>
              </w:rPr>
              <w:t xml:space="preserve"> </w:t>
            </w:r>
            <w:r>
              <w:rPr>
                <w:rFonts w:eastAsia="Times New Roman" w:cs="Calibri"/>
                <w:sz w:val="16"/>
                <w:szCs w:val="16"/>
              </w:rPr>
              <w:t>(</w:t>
            </w:r>
            <w:r w:rsidRPr="00FF3C7D">
              <w:rPr>
                <w:rFonts w:eastAsia="Times New Roman" w:cs="Calibri"/>
                <w:sz w:val="16"/>
                <w:szCs w:val="16"/>
              </w:rPr>
              <w:t>EHNV</w:t>
            </w:r>
            <w:r>
              <w:rPr>
                <w:rFonts w:eastAsia="Times New Roman" w:cs="Calibri"/>
                <w:sz w:val="16"/>
                <w:szCs w:val="16"/>
              </w:rPr>
              <w:t>)</w:t>
            </w:r>
          </w:p>
        </w:tc>
        <w:tc>
          <w:tcPr>
            <w:tcW w:w="0" w:type="auto"/>
            <w:vAlign w:val="center"/>
          </w:tcPr>
          <w:p w14:paraId="69F258A4" w14:textId="77777777" w:rsidR="007C0636" w:rsidRPr="00FF3C7D" w:rsidRDefault="007C0636" w:rsidP="00B8027F">
            <w:pPr>
              <w:spacing w:before="60" w:after="60" w:line="240" w:lineRule="auto"/>
              <w:jc w:val="both"/>
              <w:rPr>
                <w:rFonts w:eastAsia="Times New Roman" w:cs="Calibri"/>
                <w:color w:val="444444"/>
                <w:sz w:val="16"/>
                <w:szCs w:val="16"/>
              </w:rPr>
            </w:pPr>
            <w:r w:rsidRPr="00675791">
              <w:rPr>
                <w:rFonts w:cs="Calibri"/>
                <w:sz w:val="16"/>
                <w:szCs w:val="16"/>
              </w:rPr>
              <w:t xml:space="preserve">ACDP hosts the OIE reference Laboratories for Infection with epizootic haematopoietic necrosis virus, EHNV (finfish) and </w:t>
            </w:r>
            <w:proofErr w:type="spellStart"/>
            <w:r w:rsidRPr="00675791">
              <w:rPr>
                <w:rFonts w:cs="Calibri"/>
                <w:sz w:val="16"/>
                <w:szCs w:val="16"/>
              </w:rPr>
              <w:t>Ranaviruses</w:t>
            </w:r>
            <w:proofErr w:type="spellEnd"/>
            <w:r w:rsidRPr="00675791">
              <w:rPr>
                <w:rFonts w:cs="Calibri"/>
                <w:sz w:val="16"/>
                <w:szCs w:val="16"/>
              </w:rPr>
              <w:t xml:space="preserve"> (amphibians). EHNV and </w:t>
            </w:r>
            <w:proofErr w:type="spellStart"/>
            <w:r w:rsidRPr="00675791">
              <w:rPr>
                <w:rFonts w:cs="Calibri"/>
                <w:sz w:val="16"/>
                <w:szCs w:val="16"/>
              </w:rPr>
              <w:t>ranaviruses</w:t>
            </w:r>
            <w:proofErr w:type="spellEnd"/>
            <w:r w:rsidRPr="00675791">
              <w:rPr>
                <w:rFonts w:cs="Calibri"/>
                <w:sz w:val="16"/>
                <w:szCs w:val="16"/>
              </w:rPr>
              <w:t xml:space="preserve"> of amphibians are members of the </w:t>
            </w:r>
            <w:proofErr w:type="spellStart"/>
            <w:r w:rsidRPr="00675791">
              <w:rPr>
                <w:rFonts w:cs="Calibri"/>
                <w:i/>
                <w:iCs/>
                <w:sz w:val="16"/>
                <w:szCs w:val="16"/>
              </w:rPr>
              <w:t>Ranavirus</w:t>
            </w:r>
            <w:proofErr w:type="spellEnd"/>
            <w:r w:rsidRPr="00675791">
              <w:rPr>
                <w:rFonts w:cs="Calibri"/>
                <w:sz w:val="16"/>
                <w:szCs w:val="16"/>
              </w:rPr>
              <w:t xml:space="preserve"> genus of the Family </w:t>
            </w:r>
            <w:proofErr w:type="spellStart"/>
            <w:r w:rsidRPr="00675791">
              <w:rPr>
                <w:rFonts w:cs="Calibri"/>
                <w:i/>
                <w:iCs/>
                <w:sz w:val="16"/>
                <w:szCs w:val="16"/>
              </w:rPr>
              <w:t>Iridoviridae</w:t>
            </w:r>
            <w:proofErr w:type="spellEnd"/>
            <w:r w:rsidRPr="00675791">
              <w:rPr>
                <w:rFonts w:cs="Calibri"/>
                <w:sz w:val="16"/>
                <w:szCs w:val="16"/>
              </w:rPr>
              <w:t xml:space="preserve">. EHNV was first identified in Australia, as the causative agent of epizootics in redfin perch. Two </w:t>
            </w:r>
            <w:proofErr w:type="spellStart"/>
            <w:r w:rsidRPr="00675791">
              <w:rPr>
                <w:rFonts w:cs="Calibri"/>
                <w:sz w:val="16"/>
                <w:szCs w:val="16"/>
              </w:rPr>
              <w:t>ranaviruses</w:t>
            </w:r>
            <w:proofErr w:type="spellEnd"/>
            <w:r w:rsidRPr="00675791">
              <w:rPr>
                <w:rFonts w:cs="Calibri"/>
                <w:sz w:val="16"/>
                <w:szCs w:val="16"/>
              </w:rPr>
              <w:t xml:space="preserve"> of amphibians, Bohle iridovirus (BIV) and </w:t>
            </w:r>
            <w:proofErr w:type="spellStart"/>
            <w:r w:rsidRPr="00675791">
              <w:rPr>
                <w:rFonts w:cs="Calibri"/>
                <w:sz w:val="16"/>
                <w:szCs w:val="16"/>
              </w:rPr>
              <w:t>Mahafee</w:t>
            </w:r>
            <w:proofErr w:type="spellEnd"/>
            <w:r w:rsidRPr="00675791">
              <w:rPr>
                <w:rFonts w:cs="Calibri"/>
                <w:sz w:val="16"/>
                <w:szCs w:val="16"/>
              </w:rPr>
              <w:t xml:space="preserve"> road virus (MHRV) have been isolated and identified as the causative agents of amphibian mortalities in Australia. Work done in Australia in the late 1980’s found that EHNV was not pathogenic to barramundi and EHNV was not pathogenic to frogs, and BIV was highly pathogenic to barramundi. There is a need to undertake additional cross-class pathogenicity work, planned in such a way as to generate validation data for molecular tests for publication and updating of the relevant OIE Aquatic Manual chapters, and will provide the international community with an updated assessment of the risk </w:t>
            </w:r>
            <w:proofErr w:type="spellStart"/>
            <w:r w:rsidRPr="00675791">
              <w:rPr>
                <w:rFonts w:cs="Calibri"/>
                <w:sz w:val="16"/>
                <w:szCs w:val="16"/>
              </w:rPr>
              <w:t>ranavirus</w:t>
            </w:r>
            <w:proofErr w:type="spellEnd"/>
            <w:r w:rsidRPr="00675791">
              <w:rPr>
                <w:rFonts w:cs="Calibri"/>
                <w:sz w:val="16"/>
                <w:szCs w:val="16"/>
              </w:rPr>
              <w:t xml:space="preserve"> isolates from amphibians pose to finfish, and vice versa. The successful applicant will also collaborate to complete whole genome sequencing and annotation and comparison of frog and finfish </w:t>
            </w:r>
            <w:proofErr w:type="spellStart"/>
            <w:r w:rsidRPr="00675791">
              <w:rPr>
                <w:rFonts w:cs="Calibri"/>
                <w:sz w:val="16"/>
                <w:szCs w:val="16"/>
              </w:rPr>
              <w:t>ranavirus</w:t>
            </w:r>
            <w:proofErr w:type="spellEnd"/>
            <w:r w:rsidRPr="00675791">
              <w:rPr>
                <w:rFonts w:cs="Calibri"/>
                <w:sz w:val="16"/>
                <w:szCs w:val="16"/>
              </w:rPr>
              <w:t xml:space="preserve"> isolates in the ACDP collection to clarify the taxonomic relationships between these viruses.</w:t>
            </w:r>
          </w:p>
        </w:tc>
      </w:tr>
      <w:tr w:rsidR="007C0636" w:rsidRPr="006F2137" w14:paraId="5D9446DF" w14:textId="77777777" w:rsidTr="00B8027F">
        <w:tc>
          <w:tcPr>
            <w:tcW w:w="421" w:type="dxa"/>
            <w:shd w:val="clear" w:color="auto" w:fill="auto"/>
            <w:vAlign w:val="center"/>
          </w:tcPr>
          <w:p w14:paraId="49B7D94F"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t>4</w:t>
            </w:r>
          </w:p>
        </w:tc>
        <w:tc>
          <w:tcPr>
            <w:tcW w:w="2843" w:type="dxa"/>
            <w:vAlign w:val="center"/>
          </w:tcPr>
          <w:p w14:paraId="2D187F78" w14:textId="77777777" w:rsidR="007C0636" w:rsidRPr="00FF3C7D" w:rsidRDefault="007C0636" w:rsidP="00B8027F">
            <w:pPr>
              <w:spacing w:after="0" w:line="240" w:lineRule="auto"/>
              <w:jc w:val="both"/>
              <w:rPr>
                <w:rFonts w:eastAsia="Times New Roman" w:cs="Calibri"/>
                <w:sz w:val="16"/>
                <w:szCs w:val="16"/>
              </w:rPr>
            </w:pPr>
            <w:r w:rsidRPr="00FF3C7D">
              <w:rPr>
                <w:rFonts w:eastAsia="Times New Roman" w:cs="Calibri"/>
                <w:sz w:val="16"/>
                <w:szCs w:val="16"/>
              </w:rPr>
              <w:t xml:space="preserve">Development of a vaccine for </w:t>
            </w:r>
            <w:r w:rsidRPr="00675791">
              <w:rPr>
                <w:rFonts w:eastAsia="Times New Roman" w:cs="Calibri"/>
                <w:b/>
                <w:bCs/>
                <w:sz w:val="16"/>
                <w:szCs w:val="16"/>
              </w:rPr>
              <w:t>African swine fever</w:t>
            </w:r>
            <w:r>
              <w:rPr>
                <w:rFonts w:eastAsia="Times New Roman" w:cs="Calibri"/>
                <w:sz w:val="16"/>
                <w:szCs w:val="16"/>
              </w:rPr>
              <w:t xml:space="preserve"> (ASF)</w:t>
            </w:r>
          </w:p>
          <w:p w14:paraId="1FDEFB48" w14:textId="77777777" w:rsidR="007C0636" w:rsidRPr="00FF3C7D" w:rsidRDefault="007C0636" w:rsidP="00B8027F">
            <w:pPr>
              <w:spacing w:after="0" w:line="240" w:lineRule="auto"/>
              <w:jc w:val="both"/>
              <w:rPr>
                <w:rFonts w:eastAsia="Times New Roman" w:cs="Calibri"/>
                <w:sz w:val="16"/>
                <w:szCs w:val="16"/>
              </w:rPr>
            </w:pPr>
          </w:p>
        </w:tc>
        <w:tc>
          <w:tcPr>
            <w:tcW w:w="0" w:type="auto"/>
            <w:vAlign w:val="center"/>
          </w:tcPr>
          <w:p w14:paraId="485AC715" w14:textId="77777777" w:rsidR="007C0636" w:rsidRPr="00FF3C7D" w:rsidRDefault="007C0636" w:rsidP="00B8027F">
            <w:pPr>
              <w:spacing w:before="60" w:after="60" w:line="240" w:lineRule="auto"/>
              <w:jc w:val="both"/>
              <w:rPr>
                <w:rFonts w:eastAsia="Times New Roman" w:cs="Calibri"/>
                <w:sz w:val="16"/>
                <w:szCs w:val="16"/>
              </w:rPr>
            </w:pPr>
            <w:r w:rsidRPr="00FF3C7D">
              <w:rPr>
                <w:rFonts w:eastAsia="Times New Roman" w:cs="Calibri"/>
                <w:sz w:val="16"/>
                <w:szCs w:val="16"/>
              </w:rPr>
              <w:t>This project will aim to address the inherent safety issues of Live Attenuated Vaccines (LAVs) through the development of novel ASF vaccine candidates that can induce robust and protective immune responses in pigs.</w:t>
            </w:r>
          </w:p>
        </w:tc>
      </w:tr>
      <w:tr w:rsidR="007C0636" w:rsidRPr="006F2137" w14:paraId="3D3300F5" w14:textId="77777777" w:rsidTr="00B8027F">
        <w:tc>
          <w:tcPr>
            <w:tcW w:w="421" w:type="dxa"/>
            <w:shd w:val="clear" w:color="auto" w:fill="auto"/>
            <w:vAlign w:val="center"/>
          </w:tcPr>
          <w:p w14:paraId="1C6FB57A"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t>5</w:t>
            </w:r>
          </w:p>
        </w:tc>
        <w:tc>
          <w:tcPr>
            <w:tcW w:w="2843" w:type="dxa"/>
            <w:vAlign w:val="center"/>
            <w:hideMark/>
          </w:tcPr>
          <w:p w14:paraId="0491C258" w14:textId="77777777" w:rsidR="007C0636" w:rsidRPr="00FF3C7D" w:rsidRDefault="007C0636" w:rsidP="00B8027F">
            <w:pPr>
              <w:spacing w:after="0" w:line="240" w:lineRule="auto"/>
              <w:jc w:val="both"/>
              <w:rPr>
                <w:rFonts w:eastAsia="Times New Roman" w:cs="Calibri"/>
                <w:sz w:val="16"/>
                <w:szCs w:val="16"/>
              </w:rPr>
            </w:pPr>
            <w:r w:rsidRPr="00FF3C7D">
              <w:rPr>
                <w:rFonts w:eastAsia="Times New Roman" w:cs="Calibri"/>
                <w:sz w:val="16"/>
                <w:szCs w:val="16"/>
              </w:rPr>
              <w:t>Online test validation and result interpretation</w:t>
            </w:r>
          </w:p>
        </w:tc>
        <w:tc>
          <w:tcPr>
            <w:tcW w:w="0" w:type="auto"/>
            <w:vAlign w:val="center"/>
            <w:hideMark/>
          </w:tcPr>
          <w:p w14:paraId="66D96636" w14:textId="77777777" w:rsidR="007C0636" w:rsidRPr="00FF3C7D" w:rsidRDefault="007C0636" w:rsidP="00B8027F">
            <w:pPr>
              <w:spacing w:before="60" w:after="60" w:line="240" w:lineRule="auto"/>
              <w:jc w:val="both"/>
              <w:rPr>
                <w:rFonts w:eastAsia="Times New Roman" w:cs="Calibri"/>
                <w:sz w:val="16"/>
                <w:szCs w:val="16"/>
              </w:rPr>
            </w:pPr>
            <w:r>
              <w:rPr>
                <w:rFonts w:eastAsia="Times New Roman" w:cs="Calibri"/>
                <w:color w:val="000000" w:themeColor="text1"/>
                <w:sz w:val="16"/>
                <w:szCs w:val="16"/>
              </w:rPr>
              <w:t>The</w:t>
            </w:r>
            <w:r w:rsidRPr="5DBF89E4">
              <w:rPr>
                <w:rFonts w:eastAsia="Times New Roman" w:cs="Calibri"/>
                <w:color w:val="000000" w:themeColor="text1"/>
                <w:sz w:val="16"/>
                <w:szCs w:val="16"/>
              </w:rPr>
              <w:t xml:space="preserve"> ability to make a quantitative interpretation of the meaning of a test result </w:t>
            </w:r>
            <w:r>
              <w:rPr>
                <w:rFonts w:eastAsia="Times New Roman" w:cs="Calibri"/>
                <w:color w:val="000000" w:themeColor="text1"/>
                <w:sz w:val="16"/>
                <w:szCs w:val="16"/>
              </w:rPr>
              <w:t xml:space="preserve">in the absence of </w:t>
            </w:r>
            <w:r w:rsidRPr="5DBF89E4">
              <w:rPr>
                <w:rFonts w:eastAsia="Times New Roman" w:cs="Calibri"/>
                <w:color w:val="000000" w:themeColor="text1"/>
                <w:sz w:val="16"/>
                <w:szCs w:val="16"/>
              </w:rPr>
              <w:t>a strong, defensible estimation of the sensitivity (Se) and specificity (</w:t>
            </w:r>
            <w:proofErr w:type="spellStart"/>
            <w:r w:rsidRPr="5DBF89E4">
              <w:rPr>
                <w:rFonts w:eastAsia="Times New Roman" w:cs="Calibri"/>
                <w:color w:val="000000" w:themeColor="text1"/>
                <w:sz w:val="16"/>
                <w:szCs w:val="16"/>
              </w:rPr>
              <w:t>Sp</w:t>
            </w:r>
            <w:proofErr w:type="spellEnd"/>
            <w:r w:rsidRPr="5DBF89E4">
              <w:rPr>
                <w:rFonts w:eastAsia="Times New Roman" w:cs="Calibri"/>
                <w:color w:val="000000" w:themeColor="text1"/>
                <w:sz w:val="16"/>
                <w:szCs w:val="16"/>
              </w:rPr>
              <w:t xml:space="preserve">) of diagnostic tests in a target population is very limited. The main outcome of this project is to make effective use of Sample Manager (SM; a laboratory information management system) to accurately estimate, in real time, Se and </w:t>
            </w:r>
            <w:proofErr w:type="spellStart"/>
            <w:r w:rsidRPr="5DBF89E4">
              <w:rPr>
                <w:rFonts w:eastAsia="Times New Roman" w:cs="Calibri"/>
                <w:color w:val="000000" w:themeColor="text1"/>
                <w:sz w:val="16"/>
                <w:szCs w:val="16"/>
              </w:rPr>
              <w:t>Sp</w:t>
            </w:r>
            <w:proofErr w:type="spellEnd"/>
            <w:r w:rsidRPr="5DBF89E4">
              <w:rPr>
                <w:rFonts w:eastAsia="Times New Roman" w:cs="Calibri"/>
                <w:color w:val="000000" w:themeColor="text1"/>
                <w:sz w:val="16"/>
                <w:szCs w:val="16"/>
              </w:rPr>
              <w:t xml:space="preserve"> of diagnostic tests in a target population using Frequentist and Bayesian Latent Class Analysis (BLCA) approaches. This information can also be used to generate likelihood ratios (LRs) for test results that can allow quantitative interpretation of a diagnostic test result.</w:t>
            </w:r>
          </w:p>
        </w:tc>
      </w:tr>
      <w:tr w:rsidR="007C0636" w:rsidRPr="006F2137" w14:paraId="416FC399" w14:textId="77777777" w:rsidTr="00B8027F">
        <w:tc>
          <w:tcPr>
            <w:tcW w:w="421" w:type="dxa"/>
            <w:shd w:val="clear" w:color="auto" w:fill="auto"/>
            <w:vAlign w:val="center"/>
          </w:tcPr>
          <w:p w14:paraId="68B87A96"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t>6</w:t>
            </w:r>
          </w:p>
        </w:tc>
        <w:tc>
          <w:tcPr>
            <w:tcW w:w="2843" w:type="dxa"/>
            <w:vAlign w:val="center"/>
          </w:tcPr>
          <w:p w14:paraId="0843C68E" w14:textId="77777777" w:rsidR="007C0636" w:rsidRPr="00FF3C7D" w:rsidRDefault="007C0636" w:rsidP="00B8027F">
            <w:pPr>
              <w:spacing w:after="0" w:line="240" w:lineRule="auto"/>
              <w:jc w:val="both"/>
              <w:rPr>
                <w:rFonts w:eastAsia="Times New Roman" w:cs="Calibri"/>
                <w:sz w:val="16"/>
                <w:szCs w:val="16"/>
              </w:rPr>
            </w:pPr>
            <w:r w:rsidRPr="5DBF89E4">
              <w:rPr>
                <w:rFonts w:eastAsia="Times New Roman" w:cs="Calibri"/>
                <w:color w:val="000000" w:themeColor="text1"/>
                <w:sz w:val="16"/>
                <w:szCs w:val="16"/>
              </w:rPr>
              <w:t xml:space="preserve">Virus evolution and genome-scale </w:t>
            </w:r>
            <w:proofErr w:type="spellStart"/>
            <w:r w:rsidRPr="5DBF89E4">
              <w:rPr>
                <w:rFonts w:eastAsia="Times New Roman" w:cs="Calibri"/>
                <w:color w:val="000000" w:themeColor="text1"/>
                <w:sz w:val="16"/>
                <w:szCs w:val="16"/>
              </w:rPr>
              <w:t>phylodynamics</w:t>
            </w:r>
            <w:proofErr w:type="spellEnd"/>
            <w:r w:rsidRPr="5DBF89E4">
              <w:rPr>
                <w:rFonts w:eastAsia="Times New Roman" w:cs="Calibri"/>
                <w:color w:val="000000" w:themeColor="text1"/>
                <w:sz w:val="16"/>
                <w:szCs w:val="16"/>
              </w:rPr>
              <w:t xml:space="preserve"> of potentially zoonotic </w:t>
            </w:r>
            <w:r w:rsidRPr="00675791">
              <w:rPr>
                <w:rFonts w:eastAsia="Times New Roman" w:cs="Calibri"/>
                <w:b/>
                <w:bCs/>
                <w:color w:val="000000" w:themeColor="text1"/>
                <w:sz w:val="16"/>
                <w:szCs w:val="16"/>
              </w:rPr>
              <w:t>avian influenza</w:t>
            </w:r>
            <w:r w:rsidRPr="5DBF89E4">
              <w:rPr>
                <w:rFonts w:eastAsia="Times New Roman" w:cs="Calibri"/>
                <w:color w:val="000000" w:themeColor="text1"/>
                <w:sz w:val="16"/>
                <w:szCs w:val="16"/>
              </w:rPr>
              <w:t xml:space="preserve"> and other emerging infectious disease viruses</w:t>
            </w:r>
          </w:p>
        </w:tc>
        <w:tc>
          <w:tcPr>
            <w:tcW w:w="0" w:type="auto"/>
            <w:vAlign w:val="center"/>
          </w:tcPr>
          <w:p w14:paraId="2B24E4F1" w14:textId="77777777" w:rsidR="007C0636" w:rsidRPr="00675791" w:rsidRDefault="007C0636" w:rsidP="00B8027F">
            <w:pPr>
              <w:spacing w:before="60" w:after="60" w:line="240" w:lineRule="auto"/>
              <w:jc w:val="both"/>
              <w:rPr>
                <w:rFonts w:eastAsia="Times New Roman" w:cs="Calibri"/>
                <w:sz w:val="16"/>
                <w:szCs w:val="16"/>
              </w:rPr>
            </w:pPr>
            <w:r w:rsidRPr="00675791">
              <w:rPr>
                <w:rFonts w:cs="Calibri"/>
                <w:sz w:val="16"/>
                <w:szCs w:val="16"/>
              </w:rPr>
              <w:t xml:space="preserve">ACDP has access to a large and expanding repository of animal influenza viruses and other viral emerging infectious disease (EID) samples, along with their sequenced virus genomes, collected nationally and through its regional projects in Southeast Asia and the Indo-Pacific. As an OIE and FAO international Reference Centre for Avian Influenza and New &amp; Emerging Infectious Diseases, ACDP responds rapidly to EID outbreaks to deliver confirmatory disease diagnostics, pathogen characterisation, and disease impact and zoonotic risk assessments. </w:t>
            </w:r>
            <w:proofErr w:type="spellStart"/>
            <w:r w:rsidRPr="00675791">
              <w:rPr>
                <w:rFonts w:cs="Calibri"/>
                <w:sz w:val="16"/>
                <w:szCs w:val="16"/>
              </w:rPr>
              <w:t>Phylodynamics</w:t>
            </w:r>
            <w:proofErr w:type="spellEnd"/>
            <w:r w:rsidRPr="00675791">
              <w:rPr>
                <w:rFonts w:cs="Calibri"/>
                <w:sz w:val="16"/>
                <w:szCs w:val="16"/>
              </w:rPr>
              <w:t xml:space="preserve"> is an increasingly important field in viral disease research, that integrates sample metadata (time, location and other epidemiological links, and host and ecological interactions) with evolutionary genomics and phylogenetics, to infer the potential origins of EIDs and inform on the virus ecology. Our project aims to gain epidemiological insights by identifying potential virus and host genetic factors that may be associated with disease and zoonotic risks, including host specificities, virus pathogenicity and tropism, virus distribution fitness and the ecological drivers of host species or population spill overs. Through a combination of targeted phylodynamic data analysis and big data mining, this project will explore and compare the epidemiological drivers of evolution and genomic diversity of zoonotic avian influenza viruses that circulate or emerge in poultry and wild birds in selected host environments and in wild bird and domestic poultry populations in Australia and overseas. The ACDP international and Australian national animal influenza preparedness and virus surveillance programs will be the model used to explore concepts and develop pipelines for virus phylodynamic risk assessments. However, we aim that these concepts can be transferred to other EIDs and zoonotic viral diseases that currently impact regional and global animal and one-health, such as animal coronaviruses and paramyxoviruses.</w:t>
            </w:r>
          </w:p>
        </w:tc>
      </w:tr>
      <w:tr w:rsidR="007C0636" w:rsidRPr="006F2137" w14:paraId="5499F8D5" w14:textId="77777777" w:rsidTr="00B8027F">
        <w:tc>
          <w:tcPr>
            <w:tcW w:w="421" w:type="dxa"/>
            <w:vAlign w:val="center"/>
          </w:tcPr>
          <w:p w14:paraId="77AF9A72"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t>7</w:t>
            </w:r>
          </w:p>
        </w:tc>
        <w:tc>
          <w:tcPr>
            <w:tcW w:w="2843" w:type="dxa"/>
            <w:vAlign w:val="center"/>
          </w:tcPr>
          <w:p w14:paraId="26C50DC3" w14:textId="77777777" w:rsidR="007C0636" w:rsidRPr="00FF3C7D" w:rsidRDefault="007C0636" w:rsidP="00B8027F">
            <w:pPr>
              <w:spacing w:after="0" w:line="240" w:lineRule="auto"/>
              <w:jc w:val="both"/>
              <w:rPr>
                <w:rFonts w:eastAsia="Times New Roman" w:cs="Calibri"/>
                <w:sz w:val="16"/>
                <w:szCs w:val="16"/>
              </w:rPr>
            </w:pPr>
            <w:r w:rsidRPr="00FF3C7D">
              <w:rPr>
                <w:rFonts w:eastAsia="Times New Roman" w:cs="Calibri"/>
                <w:sz w:val="16"/>
                <w:szCs w:val="16"/>
              </w:rPr>
              <w:t xml:space="preserve">Vector competency of Australian species of </w:t>
            </w:r>
            <w:proofErr w:type="spellStart"/>
            <w:r w:rsidRPr="00FF3C7D">
              <w:rPr>
                <w:rFonts w:eastAsia="Times New Roman" w:cs="Calibri"/>
                <w:sz w:val="16"/>
                <w:szCs w:val="16"/>
              </w:rPr>
              <w:t>Culicoides</w:t>
            </w:r>
            <w:proofErr w:type="spellEnd"/>
            <w:r w:rsidRPr="00FF3C7D">
              <w:rPr>
                <w:rFonts w:eastAsia="Times New Roman" w:cs="Calibri"/>
                <w:sz w:val="16"/>
                <w:szCs w:val="16"/>
              </w:rPr>
              <w:t xml:space="preserve"> for </w:t>
            </w:r>
            <w:r w:rsidRPr="00675791">
              <w:rPr>
                <w:rFonts w:eastAsia="Times New Roman" w:cs="Calibri"/>
                <w:b/>
                <w:bCs/>
                <w:sz w:val="16"/>
                <w:szCs w:val="16"/>
              </w:rPr>
              <w:t>African Horse Sickness</w:t>
            </w:r>
            <w:r>
              <w:rPr>
                <w:rFonts w:eastAsia="Times New Roman" w:cs="Calibri"/>
                <w:sz w:val="16"/>
                <w:szCs w:val="16"/>
              </w:rPr>
              <w:t xml:space="preserve"> (AHS)</w:t>
            </w:r>
          </w:p>
        </w:tc>
        <w:tc>
          <w:tcPr>
            <w:tcW w:w="0" w:type="auto"/>
            <w:vAlign w:val="center"/>
          </w:tcPr>
          <w:p w14:paraId="70ADBF8A" w14:textId="77777777" w:rsidR="007C0636" w:rsidRPr="006F2137" w:rsidRDefault="007C0636" w:rsidP="00B8027F">
            <w:pPr>
              <w:spacing w:before="60" w:after="60" w:line="240" w:lineRule="auto"/>
              <w:jc w:val="both"/>
              <w:rPr>
                <w:rFonts w:eastAsia="Times New Roman" w:cs="Calibri"/>
                <w:sz w:val="16"/>
                <w:szCs w:val="16"/>
              </w:rPr>
            </w:pPr>
            <w:r>
              <w:rPr>
                <w:rFonts w:eastAsia="Times New Roman" w:cs="Calibri"/>
                <w:sz w:val="16"/>
                <w:szCs w:val="16"/>
              </w:rPr>
              <w:t>I</w:t>
            </w:r>
            <w:r w:rsidRPr="006F2137">
              <w:rPr>
                <w:rFonts w:eastAsia="Times New Roman" w:cs="Calibri"/>
                <w:sz w:val="16"/>
                <w:szCs w:val="16"/>
              </w:rPr>
              <w:t xml:space="preserve">dentification of horse feeding species of </w:t>
            </w:r>
            <w:proofErr w:type="spellStart"/>
            <w:r w:rsidRPr="006F2137">
              <w:rPr>
                <w:rFonts w:eastAsia="Times New Roman" w:cs="Calibri"/>
                <w:sz w:val="16"/>
                <w:szCs w:val="16"/>
              </w:rPr>
              <w:t>Culicoides</w:t>
            </w:r>
            <w:proofErr w:type="spellEnd"/>
            <w:r w:rsidRPr="006F2137">
              <w:rPr>
                <w:rFonts w:eastAsia="Times New Roman" w:cs="Calibri"/>
                <w:sz w:val="16"/>
                <w:szCs w:val="16"/>
              </w:rPr>
              <w:t xml:space="preserve"> and assessment of competency as vectors for AHS through transmission trials. Subsequent identification of genetic and microbiome contributors to competency through transcriptomics and microbiome studies</w:t>
            </w:r>
          </w:p>
        </w:tc>
      </w:tr>
      <w:tr w:rsidR="007C0636" w:rsidRPr="006F2137" w14:paraId="1D62F640" w14:textId="77777777" w:rsidTr="00B8027F">
        <w:tc>
          <w:tcPr>
            <w:tcW w:w="421" w:type="dxa"/>
            <w:vAlign w:val="center"/>
          </w:tcPr>
          <w:p w14:paraId="31EBEC34" w14:textId="77777777" w:rsidR="007C0636" w:rsidRPr="00FF3C7D" w:rsidRDefault="007C0636" w:rsidP="00B8027F">
            <w:pPr>
              <w:spacing w:after="0" w:line="240" w:lineRule="auto"/>
              <w:jc w:val="center"/>
              <w:rPr>
                <w:rFonts w:eastAsia="Times New Roman" w:cs="Calibri"/>
                <w:sz w:val="16"/>
                <w:szCs w:val="16"/>
              </w:rPr>
            </w:pPr>
            <w:r w:rsidRPr="00FF3C7D">
              <w:rPr>
                <w:rFonts w:eastAsia="Times New Roman" w:cs="Calibri"/>
                <w:sz w:val="16"/>
                <w:szCs w:val="16"/>
              </w:rPr>
              <w:t>8</w:t>
            </w:r>
          </w:p>
        </w:tc>
        <w:tc>
          <w:tcPr>
            <w:tcW w:w="2843" w:type="dxa"/>
            <w:vAlign w:val="center"/>
          </w:tcPr>
          <w:p w14:paraId="42D16527" w14:textId="77777777" w:rsidR="007C0636" w:rsidRPr="00A82D40" w:rsidRDefault="007C0636" w:rsidP="00B8027F">
            <w:pPr>
              <w:spacing w:after="0" w:line="240" w:lineRule="auto"/>
              <w:jc w:val="both"/>
              <w:rPr>
                <w:rFonts w:eastAsia="Times New Roman" w:cs="Calibri"/>
                <w:sz w:val="16"/>
                <w:szCs w:val="16"/>
              </w:rPr>
            </w:pPr>
            <w:r w:rsidRPr="00A82D40">
              <w:rPr>
                <w:rFonts w:eastAsia="Times New Roman" w:cs="Calibri"/>
                <w:sz w:val="16"/>
                <w:szCs w:val="16"/>
              </w:rPr>
              <w:t>Pathogenesis and transmission of genotype 4 Japanese encephalitis virus in the amplifier vertebrate host</w:t>
            </w:r>
          </w:p>
        </w:tc>
        <w:tc>
          <w:tcPr>
            <w:tcW w:w="0" w:type="auto"/>
            <w:vAlign w:val="center"/>
          </w:tcPr>
          <w:p w14:paraId="76224FF9" w14:textId="77777777" w:rsidR="007C0636" w:rsidRPr="002A6E50" w:rsidRDefault="007C0636" w:rsidP="00B8027F">
            <w:pPr>
              <w:spacing w:before="60" w:after="60" w:line="240" w:lineRule="auto"/>
              <w:jc w:val="both"/>
              <w:rPr>
                <w:rFonts w:eastAsia="Times New Roman" w:cs="Calibri"/>
                <w:sz w:val="16"/>
                <w:szCs w:val="16"/>
              </w:rPr>
            </w:pPr>
            <w:r w:rsidRPr="5DBF89E4">
              <w:rPr>
                <w:rFonts w:eastAsia="Times New Roman" w:cs="Calibri"/>
                <w:color w:val="000000" w:themeColor="text1"/>
                <w:sz w:val="16"/>
                <w:szCs w:val="16"/>
              </w:rPr>
              <w:t xml:space="preserve">A novel strain of Japanese encephalitis virus that emerged in </w:t>
            </w:r>
            <w:r>
              <w:rPr>
                <w:rFonts w:eastAsia="Times New Roman" w:cs="Calibri"/>
                <w:color w:val="000000" w:themeColor="text1"/>
                <w:sz w:val="16"/>
                <w:szCs w:val="16"/>
              </w:rPr>
              <w:t>s</w:t>
            </w:r>
            <w:r w:rsidRPr="5DBF89E4">
              <w:rPr>
                <w:rFonts w:eastAsia="Times New Roman" w:cs="Calibri"/>
                <w:color w:val="000000" w:themeColor="text1"/>
                <w:sz w:val="16"/>
                <w:szCs w:val="16"/>
              </w:rPr>
              <w:t xml:space="preserve">outheast Australia in 2022 </w:t>
            </w:r>
            <w:r>
              <w:rPr>
                <w:rFonts w:eastAsia="Times New Roman" w:cs="Calibri"/>
                <w:color w:val="000000" w:themeColor="text1"/>
                <w:sz w:val="16"/>
                <w:szCs w:val="16"/>
              </w:rPr>
              <w:t xml:space="preserve">is </w:t>
            </w:r>
            <w:r w:rsidRPr="5DBF89E4">
              <w:rPr>
                <w:rFonts w:eastAsia="Times New Roman" w:cs="Calibri"/>
                <w:color w:val="000000" w:themeColor="text1"/>
                <w:sz w:val="16"/>
                <w:szCs w:val="16"/>
              </w:rPr>
              <w:t>causing widespread outbreaks in humans and animals. This project will investigate the pathogenesis and transmission of this virus in the domestic amplifier host: pigs. Specific research objectives will include: (</w:t>
            </w:r>
            <w:proofErr w:type="spellStart"/>
            <w:r w:rsidRPr="5DBF89E4">
              <w:rPr>
                <w:rFonts w:eastAsia="Times New Roman" w:cs="Calibri"/>
                <w:color w:val="000000" w:themeColor="text1"/>
                <w:sz w:val="16"/>
                <w:szCs w:val="16"/>
              </w:rPr>
              <w:t>i</w:t>
            </w:r>
            <w:proofErr w:type="spellEnd"/>
            <w:r w:rsidRPr="5DBF89E4">
              <w:rPr>
                <w:rFonts w:eastAsia="Times New Roman" w:cs="Calibri"/>
                <w:color w:val="000000" w:themeColor="text1"/>
                <w:sz w:val="16"/>
                <w:szCs w:val="16"/>
              </w:rPr>
              <w:t xml:space="preserve">) investigating the pathobiology of infection via artificial </w:t>
            </w:r>
            <w:r w:rsidRPr="5DBF89E4">
              <w:rPr>
                <w:rFonts w:eastAsia="Times New Roman" w:cs="Calibri"/>
                <w:color w:val="000000" w:themeColor="text1"/>
                <w:sz w:val="16"/>
                <w:szCs w:val="16"/>
              </w:rPr>
              <w:lastRenderedPageBreak/>
              <w:t>insemination; (ii) experimental infection of grower pigs to study the pathogenesis of the outbreak strain and assess suitable diagnostic specimens; and (iii) evaluate the efficacy of current genotype 3-based JE vaccine to protect animals against infection by the G4 outbreak strain.</w:t>
            </w:r>
          </w:p>
        </w:tc>
      </w:tr>
    </w:tbl>
    <w:p w14:paraId="241FE752" w14:textId="77777777" w:rsidR="00B50C20" w:rsidRPr="00B50C20" w:rsidRDefault="00B50C20" w:rsidP="00B50C20">
      <w:pPr>
        <w:pStyle w:val="Heading3"/>
      </w:pPr>
      <w:r w:rsidRPr="00B50C20">
        <w:lastRenderedPageBreak/>
        <w:t>Duties and Key Result Areas:</w:t>
      </w:r>
      <w:r w:rsidR="003E5564">
        <w:t xml:space="preserve">  </w:t>
      </w:r>
    </w:p>
    <w:p w14:paraId="001261E1" w14:textId="0C32A099" w:rsidR="00780FD0" w:rsidRDefault="00780FD0" w:rsidP="00780FD0">
      <w:pPr>
        <w:spacing w:after="60" w:line="240" w:lineRule="auto"/>
        <w:rPr>
          <w:szCs w:val="24"/>
        </w:rPr>
      </w:pPr>
      <w:r w:rsidRPr="00780FD0">
        <w:rPr>
          <w:szCs w:val="24"/>
        </w:rPr>
        <w:t>Under the direction of senior research scientists and engineers, CERC Fellows:</w:t>
      </w:r>
    </w:p>
    <w:p w14:paraId="5C419CF9"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F94B61">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F94B61">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F94B61">
      <w:pPr>
        <w:rPr>
          <w:i/>
          <w:iCs/>
          <w:szCs w:val="24"/>
        </w:rPr>
      </w:pPr>
      <w:r w:rsidRPr="00B50C20">
        <w:rPr>
          <w:i/>
          <w:iCs/>
          <w:szCs w:val="24"/>
        </w:rPr>
        <w:t>Under CSIRO policy only those who meet all essential criteria can be appointed.</w:t>
      </w:r>
    </w:p>
    <w:p w14:paraId="650E06FD" w14:textId="364DD5F4" w:rsidR="005C2DA3" w:rsidRPr="00FF0874" w:rsidRDefault="005C2DA3" w:rsidP="005C2DA3">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0023463D"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w:t>
      </w:r>
      <w:r w:rsidR="00846A8D">
        <w:rPr>
          <w:rFonts w:asciiTheme="minorHAnsi" w:hAnsiTheme="minorHAnsi" w:cstheme="minorHAnsi"/>
          <w:szCs w:val="24"/>
        </w:rPr>
        <w:t xml:space="preserve">as </w:t>
      </w:r>
      <w:bookmarkStart w:id="5" w:name="_Hlk100049867"/>
      <w:r w:rsidR="00846A8D">
        <w:rPr>
          <w:rFonts w:asciiTheme="minorHAnsi" w:hAnsiTheme="minorHAnsi" w:cstheme="minorHAnsi"/>
          <w:szCs w:val="24"/>
        </w:rPr>
        <w:t>Virology, Molecular Biology, Bioinformatics, Ex Vivo Models, Electron Microscopy, Immunology, Vaccine Development, Diagnostic Test Validation Science</w:t>
      </w:r>
      <w:bookmarkEnd w:id="5"/>
      <w:r w:rsidR="00846A8D">
        <w:rPr>
          <w:rFonts w:asciiTheme="minorHAnsi" w:hAnsiTheme="minorHAnsi" w:cstheme="minorHAnsi"/>
          <w:szCs w:val="24"/>
        </w:rPr>
        <w:t>.</w:t>
      </w:r>
    </w:p>
    <w:p w14:paraId="662EF4E5" w14:textId="54875CFE" w:rsidR="005C2DA3" w:rsidRPr="00FF0874" w:rsidRDefault="005C2DA3" w:rsidP="005C2DA3">
      <w:pPr>
        <w:spacing w:before="0" w:after="60" w:line="240" w:lineRule="auto"/>
        <w:ind w:left="360"/>
        <w:rPr>
          <w:rFonts w:asciiTheme="minorHAnsi" w:hAnsiTheme="minorHAnsi" w:cstheme="minorHAnsi"/>
          <w:szCs w:val="24"/>
        </w:rPr>
      </w:pPr>
      <w:bookmarkStart w:id="6"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7D44D6">
        <w:rPr>
          <w:rFonts w:asciiTheme="minorHAnsi" w:hAnsiTheme="minorHAnsi" w:cstheme="minorHAnsi"/>
          <w:szCs w:val="24"/>
        </w:rPr>
        <w:t>full</w:t>
      </w:r>
      <w:r w:rsidR="00677F4E">
        <w:rPr>
          <w:rFonts w:asciiTheme="minorHAnsi" w:hAnsiTheme="minorHAnsi" w:cstheme="minorHAnsi"/>
          <w:szCs w:val="24"/>
        </w:rPr>
        <w:t>-</w:t>
      </w:r>
      <w:r w:rsidRPr="00FF0874">
        <w:rPr>
          <w:rFonts w:asciiTheme="minorHAnsi" w:hAnsiTheme="minorHAnsi" w:cstheme="minorHAnsi"/>
          <w:szCs w:val="24"/>
        </w:rPr>
        <w:t xml:space="preserve">time equivalent) of </w:t>
      </w:r>
      <w:r w:rsidR="008036AD" w:rsidRPr="00FF0874">
        <w:rPr>
          <w:rFonts w:asciiTheme="minorHAnsi" w:hAnsiTheme="minorHAnsi" w:cstheme="minorHAnsi"/>
          <w:szCs w:val="24"/>
        </w:rPr>
        <w:t xml:space="preserve">relevant </w:t>
      </w:r>
      <w:r w:rsidRPr="00FF0874">
        <w:rPr>
          <w:rFonts w:asciiTheme="minorHAnsi" w:hAnsiTheme="minorHAnsi" w:cstheme="minorHAnsi"/>
          <w:szCs w:val="24"/>
        </w:rPr>
        <w:t>research experience.</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bookmarkStart w:id="7" w:name="_Hlk100049880"/>
      <w:bookmarkEnd w:id="6"/>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bookmarkEnd w:id="7"/>
    <w:p w14:paraId="25CA306C" w14:textId="77777777" w:rsidR="00B50C20" w:rsidRPr="000B3207" w:rsidRDefault="00B50C20" w:rsidP="00F94B61">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B12354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0C2D84B2" w:rsidR="005C2DA3" w:rsidRDefault="005C2DA3" w:rsidP="00C65C05">
      <w:pPr>
        <w:jc w:val="both"/>
      </w:pPr>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rsidRPr="00C65C05">
        <w:t xml:space="preserve"> (</w:t>
      </w:r>
      <w:r w:rsidR="00C13059">
        <w:t>AU</w:t>
      </w:r>
      <w:r w:rsidR="00FA682B" w:rsidRPr="00C65C05">
        <w:t>$</w:t>
      </w:r>
      <w:r w:rsidR="00C65C05" w:rsidRPr="00C65C05">
        <w:t>87,068</w:t>
      </w:r>
      <w:r w:rsidR="00FA682B" w:rsidRPr="00C65C05">
        <w:t>)</w:t>
      </w:r>
      <w:r w:rsidR="00460824" w:rsidRPr="00C65C05">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713BA283" w:rsidR="00A860D9" w:rsidRDefault="00A860D9" w:rsidP="005C2DA3"/>
    <w:p w14:paraId="17D66AA3" w14:textId="77777777" w:rsidR="00C13059" w:rsidRDefault="00C13059" w:rsidP="005C2DA3"/>
    <w:p w14:paraId="46CA7AE2" w14:textId="77777777" w:rsidR="00E673A0" w:rsidRPr="003044E2" w:rsidRDefault="00E673A0" w:rsidP="00E673A0">
      <w:pPr>
        <w:pStyle w:val="Boxedheading"/>
      </w:pPr>
      <w:r>
        <w:lastRenderedPageBreak/>
        <w:t>Special Requirements</w:t>
      </w:r>
    </w:p>
    <w:p w14:paraId="704BE9EC" w14:textId="77777777" w:rsidR="00C13059" w:rsidRDefault="00C13059" w:rsidP="00C13059">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B5A015D" w14:textId="77777777" w:rsidR="00C13059" w:rsidRDefault="00C13059" w:rsidP="00C13059">
      <w:pPr>
        <w:pStyle w:val="Boxedlistbullet"/>
        <w:numPr>
          <w:ilvl w:val="0"/>
          <w:numId w:val="0"/>
        </w:numPr>
        <w:ind w:left="227"/>
      </w:pPr>
    </w:p>
    <w:p w14:paraId="36F325BA" w14:textId="77777777" w:rsidR="00C13059" w:rsidRDefault="00C13059" w:rsidP="00C13059">
      <w:pPr>
        <w:pStyle w:val="Boxedlistbullet"/>
        <w:spacing w:after="100" w:afterAutospacing="1"/>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28FB1B5A" w14:textId="30247AEC" w:rsidR="00C13059" w:rsidRDefault="00C13059" w:rsidP="00C13059">
      <w:pPr>
        <w:pStyle w:val="Boxedlistbullet"/>
        <w:spacing w:after="100" w:afterAutospacing="1"/>
      </w:pPr>
      <w:r>
        <w:t>The successful candidate will be required to obtain and maintain a National Health Security (NHS) security clearance.</w:t>
      </w:r>
    </w:p>
    <w:p w14:paraId="7C4D16AE" w14:textId="346C0906" w:rsidR="00C13059" w:rsidRDefault="00C13059" w:rsidP="00E673A0">
      <w:pPr>
        <w:pStyle w:val="Boxedlistbullet"/>
        <w:numPr>
          <w:ilvl w:val="0"/>
          <w:numId w:val="0"/>
        </w:numPr>
        <w:ind w:left="227"/>
        <w:rPr>
          <w:szCs w:val="22"/>
        </w:rPr>
      </w:pPr>
    </w:p>
    <w:p w14:paraId="2FA2EFBE" w14:textId="47B9D0D0" w:rsidR="00C13059" w:rsidRPr="000C67A1" w:rsidRDefault="00C13059" w:rsidP="00E673A0">
      <w:pPr>
        <w:pStyle w:val="Boxedlistbullet"/>
        <w:numPr>
          <w:ilvl w:val="0"/>
          <w:numId w:val="0"/>
        </w:numPr>
        <w:ind w:left="227"/>
        <w:rPr>
          <w:b/>
          <w:bCs/>
          <w:sz w:val="28"/>
        </w:rPr>
      </w:pPr>
      <w:r w:rsidRPr="000C67A1">
        <w:rPr>
          <w:b/>
          <w:bCs/>
          <w:sz w:val="28"/>
        </w:rPr>
        <w:t>Security Assessment and Microbiological Security Requirements for Personnel Working on the Australian Centre for Disease Preparedness (ACDP) Site</w:t>
      </w:r>
    </w:p>
    <w:p w14:paraId="1925B5DB" w14:textId="7B2A7744" w:rsidR="00C13059" w:rsidRDefault="00C13059" w:rsidP="00E673A0">
      <w:pPr>
        <w:pStyle w:val="Boxedlistbullet"/>
        <w:numPr>
          <w:ilvl w:val="0"/>
          <w:numId w:val="0"/>
        </w:numPr>
        <w:ind w:left="227"/>
      </w:pPr>
    </w:p>
    <w:p w14:paraId="272E5AFA" w14:textId="5BD02A48" w:rsidR="00C13059" w:rsidRDefault="00C13059" w:rsidP="00E673A0">
      <w:pPr>
        <w:pStyle w:val="Boxedlistbullet"/>
        <w:numPr>
          <w:ilvl w:val="0"/>
          <w:numId w:val="0"/>
        </w:numPr>
        <w:ind w:left="227"/>
      </w:pPr>
      <w:r w:rsidRPr="00C13059">
        <w:t>The nature of our work requires that each person working on site must comply with the conditions described below:</w:t>
      </w:r>
    </w:p>
    <w:p w14:paraId="5BF2FF78" w14:textId="143F8D57" w:rsidR="00C13059" w:rsidRDefault="00C13059" w:rsidP="00E673A0">
      <w:pPr>
        <w:pStyle w:val="Boxedlistbullet"/>
        <w:numPr>
          <w:ilvl w:val="0"/>
          <w:numId w:val="0"/>
        </w:numPr>
        <w:ind w:left="227"/>
      </w:pPr>
    </w:p>
    <w:p w14:paraId="02C6211B" w14:textId="58240055" w:rsidR="00C13059" w:rsidRDefault="00C13059" w:rsidP="000C67A1">
      <w:pPr>
        <w:pStyle w:val="Boxedlistbullet"/>
      </w:pPr>
      <w:r>
        <w:t>Certain positions including those working in the ACDP microbiological secure area will require security clearance at a level appropriate to duties of the position. Confirmation of the appointment is subject to obtaining that clearance.</w:t>
      </w:r>
    </w:p>
    <w:p w14:paraId="05F0A968" w14:textId="3E867614" w:rsidR="00C13059" w:rsidRDefault="00C13059" w:rsidP="000C67A1">
      <w:pPr>
        <w:pStyle w:val="Boxedlistbullet"/>
      </w:pPr>
      <w:r>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w:t>
      </w:r>
      <w:proofErr w:type="gramStart"/>
      <w:r>
        <w:t>emus</w:t>
      </w:r>
      <w:proofErr w:type="gramEnd"/>
      <w:r>
        <w:t xml:space="preserve"> or ostriches. Personnel working with diseases of aquatic animals may not keep aquarium fish at their place of residence and at times specific species may be excluded depending on the nature of the work conducted.</w:t>
      </w:r>
    </w:p>
    <w:p w14:paraId="7C9FAEC8" w14:textId="36AAFD07" w:rsidR="00C13059" w:rsidRDefault="00C13059" w:rsidP="000C67A1">
      <w:pPr>
        <w:pStyle w:val="Boxedlistbullet"/>
      </w:pPr>
      <w:r>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t>held, or</w:t>
      </w:r>
      <w:proofErr w:type="gramEnd"/>
      <w:r>
        <w:t xml:space="preserve"> visit any aquatic animal farm or aquatic animal hatchery.</w:t>
      </w:r>
    </w:p>
    <w:p w14:paraId="150121BD" w14:textId="17852FAA" w:rsidR="00C13059" w:rsidRDefault="00C13059" w:rsidP="000C67A1">
      <w:pPr>
        <w:pStyle w:val="Boxedlistbullet"/>
      </w:pPr>
      <w:r>
        <w:t xml:space="preserve">Working in the barrier maintained Small Animal Facility or the Werribee Animal Health Farm requires avoidance of additional animals such as mice, rats, guinea pigs, rabbits, ferrets and poultry of a minimum of 3 days prior to </w:t>
      </w:r>
      <w:proofErr w:type="spellStart"/>
      <w:proofErr w:type="gramStart"/>
      <w:r>
        <w:t>arrival.Certain</w:t>
      </w:r>
      <w:proofErr w:type="spellEnd"/>
      <w:proofErr w:type="gramEnd"/>
      <w:r>
        <w:t xml:space="preserve"> positions will require medical assessment and vaccinations against various agents.</w:t>
      </w:r>
    </w:p>
    <w:p w14:paraId="67781A5D" w14:textId="02FB9B29" w:rsidR="00C13059" w:rsidRDefault="00C13059" w:rsidP="000C67A1">
      <w:pPr>
        <w:pStyle w:val="Boxedlistbullet"/>
      </w:pPr>
      <w:r>
        <w:t xml:space="preserve">Positions working at PC4 will also require a pre-employment psychological assessment. </w:t>
      </w:r>
    </w:p>
    <w:p w14:paraId="05983F4D" w14:textId="486DDD26" w:rsidR="00C13059" w:rsidRDefault="00C13059" w:rsidP="000C67A1">
      <w:pPr>
        <w:pStyle w:val="Boxedlistbullet"/>
      </w:pPr>
      <w: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3CC11476" w14:textId="4A25EB2E" w:rsidR="00C13059" w:rsidRDefault="00C13059" w:rsidP="000C67A1">
      <w:pPr>
        <w:pStyle w:val="Boxedlistbullet"/>
      </w:pPr>
      <w:r>
        <w:t xml:space="preserve">Should an emergency response situation arise, ACDP may be required to implement the Emergency Animal Disease Response Plan and personnel may need to contribute to response requirements, including </w:t>
      </w:r>
      <w:proofErr w:type="spellStart"/>
      <w:r>
        <w:t>after hours</w:t>
      </w:r>
      <w:proofErr w:type="spellEnd"/>
      <w:r>
        <w:t xml:space="preserve"> work. </w:t>
      </w:r>
    </w:p>
    <w:p w14:paraId="563AC224" w14:textId="447F8320" w:rsidR="00C13059" w:rsidRDefault="00C13059" w:rsidP="000C67A1">
      <w:pPr>
        <w:pStyle w:val="Boxedlistbullet"/>
      </w:pPr>
      <w:r>
        <w:t xml:space="preserve">Personnel must abide by Occupational Health, Safety and Environment regulations. Safety signs and directives issued by CSIRO personnel must be </w:t>
      </w:r>
      <w:proofErr w:type="gramStart"/>
      <w:r>
        <w:t>complied with at all times</w:t>
      </w:r>
      <w:proofErr w:type="gramEnd"/>
      <w:r>
        <w:t>.</w:t>
      </w:r>
    </w:p>
    <w:p w14:paraId="651E07EA" w14:textId="476DD407" w:rsidR="00C13059" w:rsidRDefault="00C13059" w:rsidP="000C67A1">
      <w:pPr>
        <w:pStyle w:val="Boxedlistbullet"/>
      </w:pPr>
      <w:r>
        <w:lastRenderedPageBreak/>
        <w:t>Access restrictions apply to the Werribee Animal Health Facility (WAHF) site that is associated with, but remote from, the ACDP site.</w:t>
      </w:r>
    </w:p>
    <w:p w14:paraId="07E7B6FB" w14:textId="252E625D" w:rsidR="00C13059" w:rsidRPr="00FF480D" w:rsidRDefault="00C13059" w:rsidP="000C67A1">
      <w:pPr>
        <w:autoSpaceDE w:val="0"/>
        <w:autoSpaceDN w:val="0"/>
        <w:adjustRightInd w:val="0"/>
        <w:spacing w:before="0" w:after="60" w:line="240" w:lineRule="auto"/>
        <w:rPr>
          <w:rFonts w:cs="Calibri"/>
          <w:sz w:val="22"/>
        </w:rPr>
      </w:pPr>
    </w:p>
    <w:p w14:paraId="3DACA35D" w14:textId="77777777" w:rsidR="00C13059" w:rsidRPr="00FF480D" w:rsidRDefault="00C13059" w:rsidP="000C67A1">
      <w:pPr>
        <w:autoSpaceDE w:val="0"/>
        <w:autoSpaceDN w:val="0"/>
        <w:adjustRightInd w:val="0"/>
        <w:spacing w:before="0" w:line="240" w:lineRule="auto"/>
        <w:rPr>
          <w:rFonts w:cs="Calibri"/>
          <w:sz w:val="22"/>
        </w:rPr>
      </w:pPr>
      <w:bookmarkStart w:id="8" w:name="_Hlk100049425"/>
    </w:p>
    <w:bookmarkEnd w:id="8"/>
    <w:p w14:paraId="74599B18" w14:textId="77777777" w:rsidR="00C13059" w:rsidRPr="000C67A1" w:rsidRDefault="00C13059" w:rsidP="000C67A1">
      <w:pPr>
        <w:autoSpaceDE w:val="0"/>
        <w:autoSpaceDN w:val="0"/>
        <w:adjustRightInd w:val="0"/>
        <w:spacing w:before="0" w:line="240" w:lineRule="auto"/>
        <w:rPr>
          <w:i/>
          <w:highlight w:val="yellow"/>
        </w:rPr>
      </w:pP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675BD771" w14:textId="0AD76CB9" w:rsidR="00C33F00" w:rsidRPr="00C13059" w:rsidRDefault="00C33F00" w:rsidP="000C67A1">
      <w:pPr>
        <w:numPr>
          <w:ilvl w:val="1"/>
          <w:numId w:val="37"/>
        </w:numPr>
        <w:spacing w:before="0" w:after="0" w:line="252" w:lineRule="auto"/>
        <w:ind w:hanging="360"/>
        <w:jc w:val="both"/>
        <w:rPr>
          <w:bCs/>
          <w:szCs w:val="24"/>
        </w:rPr>
      </w:pPr>
      <w:r w:rsidRPr="00A808A1">
        <w:rPr>
          <w:rFonts w:eastAsia="Times New Roman"/>
        </w:rPr>
        <w:t xml:space="preserve">Trusted </w:t>
      </w:r>
    </w:p>
    <w:p w14:paraId="57795D39" w14:textId="7F658200" w:rsidR="00B50C20" w:rsidRPr="00DE7756" w:rsidRDefault="00B50C20" w:rsidP="00F94B61">
      <w:pPr>
        <w:spacing w:after="180"/>
      </w:pPr>
      <w:bookmarkStart w:id="9" w:name="_Hlk81837291"/>
      <w:r w:rsidRPr="00B50C20">
        <w:rPr>
          <w:bCs/>
          <w:szCs w:val="24"/>
        </w:rPr>
        <w:t xml:space="preserve">Find out more about the CSIRO </w:t>
      </w:r>
      <w:hyperlink r:id="rId16" w:tooltip="AAHL- CSIRO website" w:history="1">
        <w:r w:rsidR="00DE7756">
          <w:rPr>
            <w:rStyle w:val="Hyperlink"/>
            <w:rFonts w:cs="Arial"/>
            <w:bCs/>
            <w:szCs w:val="24"/>
          </w:rPr>
          <w:t>Australian Centre for Disease Preparedness</w:t>
        </w:r>
      </w:hyperlink>
      <w:r w:rsidRPr="00DE7756">
        <w:rPr>
          <w:rStyle w:val="Hyperlink"/>
          <w:rFonts w:cs="Arial"/>
        </w:rPr>
        <w:t xml:space="preserve"> </w:t>
      </w:r>
    </w:p>
    <w:bookmarkEnd w:id="2"/>
    <w:bookmarkEnd w:id="9"/>
    <w:p w14:paraId="2B0466EF" w14:textId="506725A2" w:rsidR="00B50C20" w:rsidRPr="00B3003F" w:rsidRDefault="00B50C20" w:rsidP="00F94B61">
      <w:pPr>
        <w:spacing w:after="180"/>
        <w:rPr>
          <w:bCs/>
          <w:color w:val="D9D9D9" w:themeColor="background1" w:themeShade="D9"/>
          <w:szCs w:val="24"/>
        </w:rPr>
      </w:pPr>
    </w:p>
    <w:sectPr w:rsidR="00B50C20" w:rsidRPr="00B3003F"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F166" w14:textId="77777777" w:rsidR="00F37A05" w:rsidRDefault="00F37A05" w:rsidP="000A377A">
      <w:r>
        <w:separator/>
      </w:r>
    </w:p>
  </w:endnote>
  <w:endnote w:type="continuationSeparator" w:id="0">
    <w:p w14:paraId="2DB39EFE" w14:textId="77777777" w:rsidR="00F37A05" w:rsidRDefault="00F37A05" w:rsidP="000A377A">
      <w:r>
        <w:continuationSeparator/>
      </w:r>
    </w:p>
  </w:endnote>
  <w:endnote w:type="continuationNotice" w:id="1">
    <w:p w14:paraId="6613F297" w14:textId="77777777" w:rsidR="00F37A05" w:rsidRDefault="00F37A0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A9A0" w14:textId="77777777" w:rsidR="00F37A05" w:rsidRDefault="00F37A05" w:rsidP="000A377A">
      <w:r>
        <w:separator/>
      </w:r>
    </w:p>
  </w:footnote>
  <w:footnote w:type="continuationSeparator" w:id="0">
    <w:p w14:paraId="50436AAB" w14:textId="77777777" w:rsidR="00F37A05" w:rsidRDefault="00F37A05" w:rsidP="000A377A">
      <w:r>
        <w:continuationSeparator/>
      </w:r>
    </w:p>
  </w:footnote>
  <w:footnote w:type="continuationNotice" w:id="1">
    <w:p w14:paraId="1187F90E" w14:textId="77777777" w:rsidR="00F37A05" w:rsidRDefault="00F37A0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E994424"/>
    <w:multiLevelType w:val="hybridMultilevel"/>
    <w:tmpl w:val="93C0C2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F141AB"/>
    <w:multiLevelType w:val="hybridMultilevel"/>
    <w:tmpl w:val="227EC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8"/>
  </w:num>
  <w:num w:numId="15">
    <w:abstractNumId w:val="33"/>
  </w:num>
  <w:num w:numId="16">
    <w:abstractNumId w:val="29"/>
  </w:num>
  <w:num w:numId="17">
    <w:abstractNumId w:val="21"/>
  </w:num>
  <w:num w:numId="18">
    <w:abstractNumId w:val="23"/>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2"/>
  </w:num>
  <w:num w:numId="26">
    <w:abstractNumId w:val="22"/>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4"/>
  </w:num>
  <w:num w:numId="39">
    <w:abstractNumId w:val="30"/>
  </w:num>
  <w:num w:numId="40">
    <w:abstractNumId w:val="23"/>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A1"/>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5A7C"/>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28D9"/>
    <w:rsid w:val="0014404A"/>
    <w:rsid w:val="00144102"/>
    <w:rsid w:val="0014483D"/>
    <w:rsid w:val="00146F26"/>
    <w:rsid w:val="00147DA1"/>
    <w:rsid w:val="001501C7"/>
    <w:rsid w:val="00150377"/>
    <w:rsid w:val="00153230"/>
    <w:rsid w:val="00153958"/>
    <w:rsid w:val="00154291"/>
    <w:rsid w:val="0015584C"/>
    <w:rsid w:val="00155CEF"/>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6E21"/>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459E"/>
    <w:rsid w:val="0023463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945"/>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50665"/>
    <w:rsid w:val="00452AD5"/>
    <w:rsid w:val="00452FD5"/>
    <w:rsid w:val="004532E1"/>
    <w:rsid w:val="00457D8D"/>
    <w:rsid w:val="00460824"/>
    <w:rsid w:val="00463EE1"/>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4F96"/>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4D0B"/>
    <w:rsid w:val="005A5659"/>
    <w:rsid w:val="005A5AEE"/>
    <w:rsid w:val="005A5B21"/>
    <w:rsid w:val="005A60D8"/>
    <w:rsid w:val="005A7DB5"/>
    <w:rsid w:val="005B262C"/>
    <w:rsid w:val="005B34C3"/>
    <w:rsid w:val="005B469B"/>
    <w:rsid w:val="005B5075"/>
    <w:rsid w:val="005B548E"/>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77F4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4C3F"/>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636"/>
    <w:rsid w:val="007C0CBA"/>
    <w:rsid w:val="007C155B"/>
    <w:rsid w:val="007C1CAB"/>
    <w:rsid w:val="007C4477"/>
    <w:rsid w:val="007C78AC"/>
    <w:rsid w:val="007D0EDA"/>
    <w:rsid w:val="007D1151"/>
    <w:rsid w:val="007D12BD"/>
    <w:rsid w:val="007D21B7"/>
    <w:rsid w:val="007D2BE3"/>
    <w:rsid w:val="007D44D6"/>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46A8D"/>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5C37"/>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AAC"/>
    <w:rsid w:val="00A22BCD"/>
    <w:rsid w:val="00A24587"/>
    <w:rsid w:val="00A2579A"/>
    <w:rsid w:val="00A27127"/>
    <w:rsid w:val="00A27A2A"/>
    <w:rsid w:val="00A331FA"/>
    <w:rsid w:val="00A34835"/>
    <w:rsid w:val="00A349B7"/>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CA5"/>
    <w:rsid w:val="00AB5AB2"/>
    <w:rsid w:val="00AB5C46"/>
    <w:rsid w:val="00AB6542"/>
    <w:rsid w:val="00AB7207"/>
    <w:rsid w:val="00AB7A34"/>
    <w:rsid w:val="00AC323C"/>
    <w:rsid w:val="00AC3EED"/>
    <w:rsid w:val="00AC4708"/>
    <w:rsid w:val="00AC6E5E"/>
    <w:rsid w:val="00AC7857"/>
    <w:rsid w:val="00AC7E2D"/>
    <w:rsid w:val="00AD038B"/>
    <w:rsid w:val="00AD2C68"/>
    <w:rsid w:val="00AD31CD"/>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059"/>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C05"/>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1082"/>
    <w:rsid w:val="00C921D5"/>
    <w:rsid w:val="00C935F3"/>
    <w:rsid w:val="00C938DF"/>
    <w:rsid w:val="00C94273"/>
    <w:rsid w:val="00C96DAC"/>
    <w:rsid w:val="00C972F4"/>
    <w:rsid w:val="00C973A2"/>
    <w:rsid w:val="00C97D7D"/>
    <w:rsid w:val="00C97F03"/>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566"/>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5D25"/>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A05"/>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C97F03"/>
  </w:style>
  <w:style w:type="character" w:customStyle="1" w:styleId="eop">
    <w:name w:val="eop"/>
    <w:basedOn w:val="DefaultParagraphFont"/>
    <w:rsid w:val="00C97F03"/>
  </w:style>
  <w:style w:type="paragraph" w:customStyle="1" w:styleId="paragraph">
    <w:name w:val="paragraph"/>
    <w:basedOn w:val="Normal"/>
    <w:rsid w:val="00C97F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7290215">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23101532">
      <w:bodyDiv w:val="1"/>
      <w:marLeft w:val="0"/>
      <w:marRight w:val="0"/>
      <w:marTop w:val="0"/>
      <w:marBottom w:val="0"/>
      <w:divBdr>
        <w:top w:val="none" w:sz="0" w:space="0" w:color="auto"/>
        <w:left w:val="none" w:sz="0" w:space="0" w:color="auto"/>
        <w:bottom w:val="none" w:sz="0" w:space="0" w:color="auto"/>
        <w:right w:val="none" w:sz="0" w:space="0" w:color="auto"/>
      </w:divBdr>
      <w:divsChild>
        <w:div w:id="141966388">
          <w:marLeft w:val="0"/>
          <w:marRight w:val="0"/>
          <w:marTop w:val="0"/>
          <w:marBottom w:val="0"/>
          <w:divBdr>
            <w:top w:val="none" w:sz="0" w:space="0" w:color="auto"/>
            <w:left w:val="none" w:sz="0" w:space="0" w:color="auto"/>
            <w:bottom w:val="none" w:sz="0" w:space="0" w:color="auto"/>
            <w:right w:val="none" w:sz="0" w:space="0" w:color="auto"/>
          </w:divBdr>
        </w:div>
        <w:div w:id="521935700">
          <w:marLeft w:val="0"/>
          <w:marRight w:val="0"/>
          <w:marTop w:val="0"/>
          <w:marBottom w:val="0"/>
          <w:divBdr>
            <w:top w:val="none" w:sz="0" w:space="0" w:color="auto"/>
            <w:left w:val="none" w:sz="0" w:space="0" w:color="auto"/>
            <w:bottom w:val="none" w:sz="0" w:space="0" w:color="auto"/>
            <w:right w:val="none" w:sz="0" w:space="0" w:color="auto"/>
          </w:divBdr>
        </w:div>
      </w:divsChild>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Facilities/AAH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3C6F9C"/>
    <w:rsid w:val="00414F94"/>
    <w:rsid w:val="004E2D36"/>
    <w:rsid w:val="0063685B"/>
    <w:rsid w:val="006849B7"/>
    <w:rsid w:val="007C7613"/>
    <w:rsid w:val="0082379D"/>
    <w:rsid w:val="0083056E"/>
    <w:rsid w:val="0083493E"/>
    <w:rsid w:val="00875004"/>
    <w:rsid w:val="008C16A4"/>
    <w:rsid w:val="009923AE"/>
    <w:rsid w:val="00B36C21"/>
    <w:rsid w:val="00C6054D"/>
    <w:rsid w:val="00D51F1B"/>
    <w:rsid w:val="00E458C3"/>
    <w:rsid w:val="00E51523"/>
    <w:rsid w:val="00EA6D03"/>
    <w:rsid w:val="00F140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1" ma:contentTypeDescription="Create a new document." ma:contentTypeScope="" ma:versionID="00ff42736a745054f55d5ae4bc7588e2">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78f603e1f4eefb7e5f2f873cbb690c76"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H5KSCVPTMEDC-1474004031-5973</_dlc_DocId>
    <_dlc_DocIdUrl xmlns="06006892-5c50-42b6-9d85-255fee29a777">
      <Url>https://csiroau.sharepoint.com/sites/CSIROResearchOffice2/_layouts/15/DocIdRedir.aspx?ID=H5KSCVPTMEDC-1474004031-5973</Url>
      <Description>H5KSCVPTMEDC-1474004031-5973</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BD737CED-0575-4FC8-98E9-4DEC2ED2A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7</Pages>
  <Words>2822</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20027</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3</cp:revision>
  <cp:lastPrinted>2012-02-02T00:02:00Z</cp:lastPrinted>
  <dcterms:created xsi:type="dcterms:W3CDTF">2022-04-05T01:24:00Z</dcterms:created>
  <dcterms:modified xsi:type="dcterms:W3CDTF">2022-04-06T00:43:00Z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fd8efd75-ef69-4242-aa7f-b5d8081e78b6</vt:lpwstr>
  </property>
</Properties>
</file>