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1D5D59BE" w:rsidR="00CC201B" w:rsidRPr="006F5B3B" w:rsidRDefault="00852862"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6F5B3B">
              <w:rPr>
                <w:sz w:val="22"/>
              </w:rPr>
              <w:t>Research Projects</w:t>
            </w:r>
            <w:r w:rsidR="00486F57" w:rsidRPr="006F5B3B">
              <w:rPr>
                <w:sz w:val="22"/>
              </w:rPr>
              <w:t xml:space="preserve"> Officer</w:t>
            </w:r>
            <w:r w:rsidR="00BD601A" w:rsidRPr="006F5B3B">
              <w:rPr>
                <w:sz w:val="22"/>
              </w:rPr>
              <w:t xml:space="preserve"> – Aquatic Disease Research</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54E739ED" w:rsidR="00CC201B" w:rsidRPr="0093721B" w:rsidRDefault="00D57C3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88672</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4B6539C4" w:rsidR="000E571B" w:rsidRPr="006F5B3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F5B3B">
              <w:rPr>
                <w:sz w:val="22"/>
              </w:rPr>
              <w:t>Indefinite Full-time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10A89F4A" w:rsidR="000E571B" w:rsidRPr="006F5B3B" w:rsidRDefault="000E571B" w:rsidP="00C504C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F5B3B">
              <w:rPr>
                <w:sz w:val="22"/>
              </w:rPr>
              <w:t>AU$</w:t>
            </w:r>
            <w:r w:rsidR="00BD601A" w:rsidRPr="006F5B3B">
              <w:rPr>
                <w:sz w:val="22"/>
              </w:rPr>
              <w:t xml:space="preserve">87k </w:t>
            </w:r>
            <w:r w:rsidRPr="006F5B3B">
              <w:rPr>
                <w:sz w:val="22"/>
              </w:rPr>
              <w:t>- AU$</w:t>
            </w:r>
            <w:r w:rsidR="00BD601A" w:rsidRPr="006F5B3B">
              <w:rPr>
                <w:sz w:val="22"/>
              </w:rPr>
              <w:t xml:space="preserve">98k </w:t>
            </w:r>
            <w:r w:rsidRPr="006F5B3B">
              <w:rPr>
                <w:sz w:val="22"/>
              </w:rPr>
              <w:t>per annum</w:t>
            </w:r>
            <w:r w:rsidR="00C504C2">
              <w:rPr>
                <w:sz w:val="22"/>
              </w:rPr>
              <w:t xml:space="preserve"> </w:t>
            </w:r>
            <w:r w:rsidRPr="006F5B3B">
              <w:rPr>
                <w:sz w:val="22"/>
              </w:rPr>
              <w:t>plus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7130B7BE" w:rsidR="00926BE4" w:rsidRPr="006F5B3B" w:rsidRDefault="00F417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F5B3B">
              <w:rPr>
                <w:sz w:val="22"/>
              </w:rPr>
              <w:t>Geelong – Australian Centre for Disease Preparedness (ACDP), Victoria</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6D53BB8B" w:rsidR="00926BE4" w:rsidRPr="0093721B" w:rsidRDefault="00EA62ED" w:rsidP="00A03C0C">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4372ABBF" w:rsidR="00C45886" w:rsidRPr="001349B9" w:rsidRDefault="00F417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349B9">
              <w:rPr>
                <w:sz w:val="22"/>
              </w:rPr>
              <w:t>Aquatic Research Capability – Team Leader</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1732165E" w:rsidR="00926BE4" w:rsidRPr="001349B9" w:rsidRDefault="00BD60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349B9">
              <w:rPr>
                <w:sz w:val="22"/>
              </w:rPr>
              <w:t>40</w:t>
            </w:r>
            <w:r w:rsidR="00F54F83" w:rsidRPr="001349B9">
              <w:rPr>
                <w:sz w:val="22"/>
              </w:rPr>
              <w:t>%</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7790DED9" w:rsidR="00926BE4" w:rsidRPr="001349B9" w:rsidRDefault="00BD601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349B9">
              <w:rPr>
                <w:sz w:val="22"/>
              </w:rPr>
              <w:t>60</w:t>
            </w:r>
            <w:r w:rsidR="00F54F83" w:rsidRPr="001349B9">
              <w:rPr>
                <w:sz w:val="22"/>
              </w:rPr>
              <w:t>%</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349B9">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18E8EE95" w:rsidR="00194B1C" w:rsidRPr="001349B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349B9">
              <w:rPr>
                <w:sz w:val="22"/>
              </w:rPr>
              <w:t xml:space="preserve">Contact </w:t>
            </w:r>
            <w:r w:rsidR="00BD601A" w:rsidRPr="001349B9">
              <w:rPr>
                <w:sz w:val="22"/>
              </w:rPr>
              <w:t>Dr David Cummins</w:t>
            </w:r>
            <w:r w:rsidR="00F4176A" w:rsidRPr="001349B9">
              <w:rPr>
                <w:sz w:val="22"/>
              </w:rPr>
              <w:t xml:space="preserve"> </w:t>
            </w:r>
            <w:r w:rsidRPr="001349B9">
              <w:rPr>
                <w:sz w:val="22"/>
              </w:rPr>
              <w:t xml:space="preserve">via email at </w:t>
            </w:r>
            <w:r w:rsidR="00BD601A" w:rsidRPr="001349B9">
              <w:rPr>
                <w:sz w:val="22"/>
              </w:rPr>
              <w:t>david</w:t>
            </w:r>
            <w:r w:rsidRPr="001349B9">
              <w:rPr>
                <w:sz w:val="22"/>
              </w:rPr>
              <w:t>.</w:t>
            </w:r>
            <w:r w:rsidR="00BD601A" w:rsidRPr="001349B9">
              <w:rPr>
                <w:sz w:val="22"/>
              </w:rPr>
              <w:t>cummins</w:t>
            </w:r>
            <w:r w:rsidRPr="001349B9">
              <w:rPr>
                <w:sz w:val="22"/>
              </w:rPr>
              <w:t>@csiro.au</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148E598A"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64779CF0" w14:textId="7B5AED23" w:rsidR="00056A38" w:rsidRDefault="00BD601A" w:rsidP="00BD601A">
      <w:pPr>
        <w:spacing w:before="180"/>
        <w:jc w:val="both"/>
        <w:rPr>
          <w:rFonts w:cs="Calibri"/>
          <w:szCs w:val="24"/>
        </w:rPr>
      </w:pPr>
      <w:r w:rsidRPr="00707E14">
        <w:rPr>
          <w:rFonts w:cs="Calibri"/>
          <w:szCs w:val="24"/>
        </w:rPr>
        <w:t>The Diagnosis Surveillance and Response (DSR) Program at the Australian Centre for Disease Preparedness (ACDP</w:t>
      </w:r>
      <w:r w:rsidR="000B29FD">
        <w:rPr>
          <w:rFonts w:cs="Calibri"/>
          <w:szCs w:val="24"/>
        </w:rPr>
        <w:t>)</w:t>
      </w:r>
      <w:r w:rsidRPr="00707E14">
        <w:t xml:space="preserve"> provides diagnostic and research capability to investigate and respond to newly emerging and exotic diseases affecting </w:t>
      </w:r>
      <w:r>
        <w:t>terrestrial and aquatic</w:t>
      </w:r>
      <w:r w:rsidRPr="00707E14">
        <w:t xml:space="preserve"> animals</w:t>
      </w:r>
      <w:r w:rsidRPr="00707E14">
        <w:rPr>
          <w:rFonts w:cs="Calibri"/>
          <w:szCs w:val="24"/>
        </w:rPr>
        <w:t xml:space="preserve">. Within this program, </w:t>
      </w:r>
      <w:r w:rsidRPr="00707E14">
        <w:rPr>
          <w:rFonts w:cs="Calibri"/>
          <w:szCs w:val="24"/>
        </w:rPr>
        <w:lastRenderedPageBreak/>
        <w:t xml:space="preserve">the ACDP Fish Diseases Laboratory (AFDL)  undertakes  research and diagnostic (R&amp;D) activities and  provides expert advice to CSIRO and state, national and international stakeholders. </w:t>
      </w:r>
    </w:p>
    <w:p w14:paraId="3C4A4550" w14:textId="6A484D0D" w:rsidR="00BD601A" w:rsidRPr="00707E14" w:rsidRDefault="00BD601A" w:rsidP="00BD601A">
      <w:pPr>
        <w:spacing w:before="180"/>
        <w:jc w:val="both"/>
      </w:pPr>
      <w:r w:rsidRPr="00707E14">
        <w:rPr>
          <w:rFonts w:cs="Calibri"/>
          <w:szCs w:val="24"/>
        </w:rPr>
        <w:t xml:space="preserve">In your role as Aquatic Research </w:t>
      </w:r>
      <w:r w:rsidR="00056A38">
        <w:rPr>
          <w:rFonts w:cs="Calibri"/>
          <w:szCs w:val="24"/>
        </w:rPr>
        <w:t>Officer,</w:t>
      </w:r>
      <w:r w:rsidRPr="00707E14">
        <w:rPr>
          <w:rFonts w:cs="Calibri"/>
          <w:szCs w:val="24"/>
        </w:rPr>
        <w:t xml:space="preserve"> you will </w:t>
      </w:r>
      <w:r w:rsidRPr="00707E14">
        <w:rPr>
          <w:rFonts w:cs="Calibri"/>
          <w:bCs/>
          <w:szCs w:val="24"/>
        </w:rPr>
        <w:t xml:space="preserve">be responsible for planning and setup of aquatic </w:t>
      </w:r>
      <w:r w:rsidRPr="00707E14">
        <w:rPr>
          <w:rFonts w:cs="Calibri"/>
          <w:bCs/>
          <w:i/>
          <w:iCs/>
          <w:szCs w:val="24"/>
        </w:rPr>
        <w:t>in vivo</w:t>
      </w:r>
      <w:r w:rsidRPr="00707E14">
        <w:rPr>
          <w:rFonts w:cs="Calibri"/>
          <w:bCs/>
          <w:szCs w:val="24"/>
        </w:rPr>
        <w:t xml:space="preserve"> studies, provide care and maintenance of aquatic species</w:t>
      </w:r>
      <w:r>
        <w:rPr>
          <w:rFonts w:cs="Calibri"/>
          <w:bCs/>
          <w:szCs w:val="24"/>
        </w:rPr>
        <w:t>, undertake</w:t>
      </w:r>
      <w:r w:rsidRPr="00707E14">
        <w:rPr>
          <w:rFonts w:cs="Calibri"/>
          <w:bCs/>
          <w:szCs w:val="24"/>
        </w:rPr>
        <w:t xml:space="preserve"> routine molecular diagnostic testing, molecular test capability development</w:t>
      </w:r>
      <w:r>
        <w:rPr>
          <w:rFonts w:cs="Calibri"/>
          <w:bCs/>
          <w:szCs w:val="24"/>
        </w:rPr>
        <w:t>,</w:t>
      </w:r>
      <w:r w:rsidRPr="00707E14">
        <w:rPr>
          <w:rFonts w:cs="Calibri"/>
          <w:bCs/>
          <w:szCs w:val="24"/>
        </w:rPr>
        <w:t xml:space="preserve"> data analysis and report writing, and contribute to a diverse range of research projects, as needed. The successful candidate will be capable of adapting readily to the changing needs of the group responsible for undertaking research</w:t>
      </w:r>
      <w:r>
        <w:rPr>
          <w:rFonts w:cs="Calibri"/>
          <w:bCs/>
          <w:szCs w:val="24"/>
        </w:rPr>
        <w:t xml:space="preserve"> and</w:t>
      </w:r>
      <w:r w:rsidRPr="00707E14">
        <w:rPr>
          <w:rFonts w:cs="Calibri"/>
          <w:bCs/>
          <w:szCs w:val="24"/>
        </w:rPr>
        <w:t xml:space="preserve"> </w:t>
      </w:r>
      <w:r>
        <w:rPr>
          <w:rFonts w:cs="Calibri"/>
          <w:bCs/>
          <w:szCs w:val="24"/>
        </w:rPr>
        <w:t xml:space="preserve">diagnostic </w:t>
      </w:r>
      <w:r w:rsidRPr="00707E14">
        <w:rPr>
          <w:rFonts w:cs="Calibri"/>
          <w:bCs/>
          <w:szCs w:val="24"/>
        </w:rPr>
        <w:t>activities for government and industry stakeholders, and which may include activities outside their own preferences.</w:t>
      </w:r>
    </w:p>
    <w:p w14:paraId="2A1C5BFD" w14:textId="6FE7F7FA" w:rsidR="00B831CB" w:rsidRDefault="003E5564" w:rsidP="004D6766">
      <w:pPr>
        <w:pStyle w:val="BodyText"/>
        <w:spacing w:before="0"/>
        <w:rPr>
          <w:i/>
          <w:iCs/>
          <w:highlight w:val="green"/>
        </w:rPr>
      </w:pPr>
      <w:r w:rsidRPr="00D254CE">
        <w:rPr>
          <w:i/>
          <w:iCs/>
          <w:highlight w:val="green"/>
        </w:rPr>
        <w:t xml:space="preserve"> </w:t>
      </w:r>
    </w:p>
    <w:p w14:paraId="671662EA" w14:textId="76D25D18" w:rsidR="00B50C20" w:rsidRPr="00B50C20" w:rsidRDefault="00B50C20" w:rsidP="00B50C20">
      <w:pPr>
        <w:pStyle w:val="Heading3"/>
      </w:pPr>
      <w:r w:rsidRPr="00B50C20">
        <w:t>Duties and Key Result Areas</w:t>
      </w:r>
    </w:p>
    <w:p w14:paraId="722CA006" w14:textId="77777777" w:rsidR="00110A04" w:rsidRPr="00110A04" w:rsidRDefault="00110A04" w:rsidP="00110A04">
      <w:pPr>
        <w:pStyle w:val="ListParagraph"/>
        <w:numPr>
          <w:ilvl w:val="0"/>
          <w:numId w:val="29"/>
        </w:numPr>
        <w:autoSpaceDE w:val="0"/>
        <w:autoSpaceDN w:val="0"/>
        <w:adjustRightInd w:val="0"/>
        <w:spacing w:after="0" w:line="240" w:lineRule="auto"/>
        <w:rPr>
          <w:rFonts w:cs="Calibri"/>
          <w:szCs w:val="24"/>
        </w:rPr>
      </w:pPr>
      <w:r w:rsidRPr="00110A04">
        <w:rPr>
          <w:rFonts w:cs="Calibri"/>
          <w:szCs w:val="24"/>
        </w:rPr>
        <w:t xml:space="preserve">Work within BSL2 and BSL3 laboratories to perform aquatic </w:t>
      </w:r>
      <w:r w:rsidRPr="00110A04">
        <w:rPr>
          <w:rFonts w:ascii="Calibri-Italic" w:hAnsi="Calibri-Italic" w:cs="Calibri-Italic"/>
          <w:i/>
          <w:iCs/>
          <w:szCs w:val="24"/>
        </w:rPr>
        <w:t xml:space="preserve">in vitro </w:t>
      </w:r>
      <w:r w:rsidRPr="00110A04">
        <w:rPr>
          <w:rFonts w:cs="Calibri"/>
          <w:szCs w:val="24"/>
        </w:rPr>
        <w:t xml:space="preserve">and </w:t>
      </w:r>
      <w:r w:rsidRPr="00110A04">
        <w:rPr>
          <w:rFonts w:ascii="Calibri-Italic" w:hAnsi="Calibri-Italic" w:cs="Calibri-Italic"/>
          <w:i/>
          <w:iCs/>
          <w:szCs w:val="24"/>
        </w:rPr>
        <w:t xml:space="preserve">in vivo </w:t>
      </w:r>
      <w:r w:rsidRPr="00110A04">
        <w:rPr>
          <w:rFonts w:cs="Calibri"/>
          <w:szCs w:val="24"/>
        </w:rPr>
        <w:t>diagnostic and research activities.</w:t>
      </w:r>
    </w:p>
    <w:p w14:paraId="793B9F59" w14:textId="77777777" w:rsidR="00110A04" w:rsidRPr="00110A04" w:rsidRDefault="00110A04" w:rsidP="00110A04">
      <w:pPr>
        <w:pStyle w:val="ListParagraph"/>
        <w:numPr>
          <w:ilvl w:val="0"/>
          <w:numId w:val="29"/>
        </w:numPr>
        <w:autoSpaceDE w:val="0"/>
        <w:autoSpaceDN w:val="0"/>
        <w:adjustRightInd w:val="0"/>
        <w:spacing w:after="0" w:line="240" w:lineRule="auto"/>
        <w:rPr>
          <w:rFonts w:cs="Calibri"/>
          <w:szCs w:val="24"/>
        </w:rPr>
      </w:pPr>
      <w:r w:rsidRPr="00110A04">
        <w:rPr>
          <w:rFonts w:cs="Calibri"/>
          <w:szCs w:val="24"/>
        </w:rPr>
        <w:t xml:space="preserve">Under general direction, participate in project planning and accept responsibility for the scheduling and delivery of activities, including </w:t>
      </w:r>
      <w:r w:rsidRPr="00110A04">
        <w:rPr>
          <w:rFonts w:cs="Calibri"/>
          <w:i/>
          <w:iCs/>
          <w:szCs w:val="24"/>
        </w:rPr>
        <w:t>in vivo</w:t>
      </w:r>
      <w:r w:rsidRPr="00110A04">
        <w:rPr>
          <w:rFonts w:cs="Calibri"/>
          <w:szCs w:val="24"/>
        </w:rPr>
        <w:t xml:space="preserve"> aquatic animal experiments, aimed at the identification and characterisation of infectious pathogens of finfish, </w:t>
      </w:r>
      <w:proofErr w:type="gramStart"/>
      <w:r w:rsidRPr="00110A04">
        <w:rPr>
          <w:rFonts w:cs="Calibri"/>
          <w:szCs w:val="24"/>
        </w:rPr>
        <w:t>crustaceans</w:t>
      </w:r>
      <w:proofErr w:type="gramEnd"/>
      <w:r w:rsidRPr="00110A04">
        <w:rPr>
          <w:rFonts w:cs="Calibri"/>
          <w:szCs w:val="24"/>
        </w:rPr>
        <w:t xml:space="preserve"> and molluscs.</w:t>
      </w:r>
    </w:p>
    <w:p w14:paraId="4A265E40" w14:textId="77777777" w:rsidR="00110A04" w:rsidRPr="00110A04" w:rsidRDefault="00110A04" w:rsidP="00110A04">
      <w:pPr>
        <w:pStyle w:val="ListParagraph"/>
        <w:numPr>
          <w:ilvl w:val="0"/>
          <w:numId w:val="29"/>
        </w:numPr>
        <w:autoSpaceDE w:val="0"/>
        <w:autoSpaceDN w:val="0"/>
        <w:adjustRightInd w:val="0"/>
        <w:spacing w:after="0" w:line="240" w:lineRule="auto"/>
        <w:rPr>
          <w:rFonts w:cs="Calibri"/>
          <w:szCs w:val="24"/>
        </w:rPr>
      </w:pPr>
      <w:r w:rsidRPr="00110A04">
        <w:rPr>
          <w:rFonts w:cs="Calibri"/>
          <w:szCs w:val="24"/>
        </w:rPr>
        <w:t>Maintain current knowledge of aquatic animal diseases of major concern to Australian</w:t>
      </w:r>
    </w:p>
    <w:p w14:paraId="3CFA91B2" w14:textId="77777777" w:rsidR="00110A04" w:rsidRPr="00110A04" w:rsidRDefault="00110A04" w:rsidP="00F4176A">
      <w:pPr>
        <w:pStyle w:val="ListParagraph"/>
        <w:autoSpaceDE w:val="0"/>
        <w:autoSpaceDN w:val="0"/>
        <w:adjustRightInd w:val="0"/>
        <w:spacing w:after="0" w:line="240" w:lineRule="auto"/>
        <w:ind w:left="928"/>
        <w:rPr>
          <w:rFonts w:cs="Calibri"/>
          <w:szCs w:val="24"/>
        </w:rPr>
      </w:pPr>
      <w:r w:rsidRPr="00110A04">
        <w:rPr>
          <w:rFonts w:cs="Calibri"/>
          <w:szCs w:val="24"/>
        </w:rPr>
        <w:t>aquaculture and fisheries, and emerging diagnostic technologies to support the group’s activities as needed.</w:t>
      </w:r>
    </w:p>
    <w:p w14:paraId="7756A893" w14:textId="77777777" w:rsidR="00110A04" w:rsidRPr="00110A04" w:rsidRDefault="00110A04" w:rsidP="00110A04">
      <w:pPr>
        <w:pStyle w:val="ListParagraph"/>
        <w:numPr>
          <w:ilvl w:val="0"/>
          <w:numId w:val="29"/>
        </w:numPr>
        <w:autoSpaceDE w:val="0"/>
        <w:autoSpaceDN w:val="0"/>
        <w:adjustRightInd w:val="0"/>
        <w:spacing w:after="0" w:line="240" w:lineRule="auto"/>
        <w:rPr>
          <w:rFonts w:cs="Calibri"/>
          <w:szCs w:val="24"/>
        </w:rPr>
      </w:pPr>
      <w:r w:rsidRPr="00110A04">
        <w:rPr>
          <w:rFonts w:cs="Calibri"/>
          <w:szCs w:val="24"/>
        </w:rPr>
        <w:t>Make significant contributions to the interpretation and communication of research and</w:t>
      </w:r>
    </w:p>
    <w:p w14:paraId="528E0E68" w14:textId="77777777" w:rsidR="00110A04" w:rsidRPr="00110A04" w:rsidRDefault="00110A04" w:rsidP="00F4176A">
      <w:pPr>
        <w:pStyle w:val="ListParagraph"/>
        <w:autoSpaceDE w:val="0"/>
        <w:autoSpaceDN w:val="0"/>
        <w:adjustRightInd w:val="0"/>
        <w:spacing w:after="0" w:line="240" w:lineRule="auto"/>
        <w:ind w:left="928"/>
        <w:rPr>
          <w:rFonts w:cs="Calibri"/>
          <w:szCs w:val="24"/>
        </w:rPr>
      </w:pPr>
      <w:r w:rsidRPr="00110A04">
        <w:rPr>
          <w:rFonts w:cs="Calibri"/>
          <w:szCs w:val="24"/>
        </w:rPr>
        <w:t>technical results, including drafting presentations and detailed written reports for both internal and external clients.</w:t>
      </w:r>
    </w:p>
    <w:p w14:paraId="32BA228F" w14:textId="77777777" w:rsidR="00110A04" w:rsidRPr="00110A04" w:rsidRDefault="00110A04" w:rsidP="00110A04">
      <w:pPr>
        <w:pStyle w:val="ListParagraph"/>
        <w:numPr>
          <w:ilvl w:val="0"/>
          <w:numId w:val="29"/>
        </w:numPr>
        <w:autoSpaceDE w:val="0"/>
        <w:autoSpaceDN w:val="0"/>
        <w:adjustRightInd w:val="0"/>
        <w:spacing w:after="0" w:line="240" w:lineRule="auto"/>
        <w:rPr>
          <w:rFonts w:cs="Calibri"/>
          <w:szCs w:val="24"/>
        </w:rPr>
      </w:pPr>
      <w:r w:rsidRPr="00110A04">
        <w:rPr>
          <w:rFonts w:cs="Calibri"/>
          <w:szCs w:val="24"/>
        </w:rPr>
        <w:t>Along with other AFDL staff, be responsible for ensuring that the laboratory’s quality</w:t>
      </w:r>
    </w:p>
    <w:p w14:paraId="29CC96ED" w14:textId="77777777" w:rsidR="00110A04" w:rsidRPr="00110A04" w:rsidRDefault="00110A04" w:rsidP="00F4176A">
      <w:pPr>
        <w:pStyle w:val="ListParagraph"/>
        <w:autoSpaceDE w:val="0"/>
        <w:autoSpaceDN w:val="0"/>
        <w:adjustRightInd w:val="0"/>
        <w:spacing w:after="0" w:line="240" w:lineRule="auto"/>
        <w:ind w:left="928"/>
        <w:rPr>
          <w:rFonts w:cs="Calibri"/>
          <w:szCs w:val="24"/>
        </w:rPr>
      </w:pPr>
      <w:r w:rsidRPr="00110A04">
        <w:rPr>
          <w:rFonts w:cs="Calibri"/>
          <w:szCs w:val="24"/>
        </w:rPr>
        <w:t>assurance system is maintained to NATA/ISO 17025 standards for aquatic animal diagnostic tests.</w:t>
      </w:r>
    </w:p>
    <w:p w14:paraId="6A169A07" w14:textId="77777777" w:rsidR="00110A04" w:rsidRPr="00110A04" w:rsidRDefault="00110A04" w:rsidP="00110A04">
      <w:pPr>
        <w:pStyle w:val="ListParagraph"/>
        <w:numPr>
          <w:ilvl w:val="0"/>
          <w:numId w:val="29"/>
        </w:numPr>
        <w:autoSpaceDE w:val="0"/>
        <w:autoSpaceDN w:val="0"/>
        <w:adjustRightInd w:val="0"/>
        <w:spacing w:after="0" w:line="240" w:lineRule="auto"/>
        <w:rPr>
          <w:rFonts w:cs="Calibri"/>
          <w:szCs w:val="24"/>
        </w:rPr>
      </w:pPr>
      <w:r w:rsidRPr="00110A04">
        <w:rPr>
          <w:rFonts w:cs="Calibri"/>
          <w:szCs w:val="24"/>
        </w:rPr>
        <w:t>Meet individual and team outputs defined in annual performance agreements, and other</w:t>
      </w:r>
    </w:p>
    <w:p w14:paraId="001FECB1" w14:textId="77777777" w:rsidR="00110A04" w:rsidRPr="00110A04" w:rsidRDefault="00110A04" w:rsidP="00F4176A">
      <w:pPr>
        <w:pStyle w:val="ListParagraph"/>
        <w:autoSpaceDE w:val="0"/>
        <w:autoSpaceDN w:val="0"/>
        <w:adjustRightInd w:val="0"/>
        <w:spacing w:after="0" w:line="240" w:lineRule="auto"/>
        <w:ind w:left="928"/>
        <w:rPr>
          <w:rFonts w:cs="Calibri"/>
          <w:szCs w:val="24"/>
        </w:rPr>
      </w:pPr>
      <w:r w:rsidRPr="00110A04">
        <w:rPr>
          <w:rFonts w:cs="Calibri"/>
          <w:szCs w:val="24"/>
        </w:rPr>
        <w:t>objectives as advised by line management.</w:t>
      </w:r>
    </w:p>
    <w:p w14:paraId="3DA61AC6" w14:textId="363EABBD" w:rsidR="00110A04" w:rsidRDefault="00110A04" w:rsidP="00110A04">
      <w:pPr>
        <w:pStyle w:val="ListParagraph"/>
        <w:numPr>
          <w:ilvl w:val="0"/>
          <w:numId w:val="29"/>
        </w:numPr>
        <w:autoSpaceDE w:val="0"/>
        <w:autoSpaceDN w:val="0"/>
        <w:adjustRightInd w:val="0"/>
        <w:spacing w:after="0" w:line="240" w:lineRule="auto"/>
        <w:rPr>
          <w:rFonts w:cstheme="minorHAnsi"/>
          <w:szCs w:val="24"/>
        </w:rPr>
      </w:pPr>
      <w:r w:rsidRPr="00110A04">
        <w:rPr>
          <w:rFonts w:eastAsia="SymbolMT" w:cstheme="minorHAnsi"/>
          <w:szCs w:val="24"/>
        </w:rPr>
        <w:t>U</w:t>
      </w:r>
      <w:r w:rsidRPr="00110A04">
        <w:rPr>
          <w:rFonts w:cstheme="minorHAnsi"/>
          <w:szCs w:val="24"/>
        </w:rPr>
        <w:t>nder general direction, contribute to research and/or technology through the development of original and adapted experimental methods.</w:t>
      </w:r>
    </w:p>
    <w:p w14:paraId="5DB2F096" w14:textId="77777777" w:rsidR="00B34DEA" w:rsidRPr="002E4A14" w:rsidRDefault="00B34DEA" w:rsidP="00B34DEA">
      <w:pPr>
        <w:pStyle w:val="ListParagraph"/>
        <w:numPr>
          <w:ilvl w:val="0"/>
          <w:numId w:val="29"/>
        </w:numPr>
        <w:spacing w:before="0" w:after="60" w:line="240" w:lineRule="auto"/>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71FBA3B6" w14:textId="77777777" w:rsidR="00B34DEA" w:rsidRDefault="00B34DEA" w:rsidP="00B34DEA">
      <w:pPr>
        <w:pStyle w:val="ListParagraph"/>
        <w:numPr>
          <w:ilvl w:val="0"/>
          <w:numId w:val="29"/>
        </w:numPr>
        <w:spacing w:before="0" w:after="60" w:line="240" w:lineRule="auto"/>
      </w:pPr>
      <w:r>
        <w:t xml:space="preserve">Adhere to the spirit and practice of CSIRO’s Values, Code of Conduct, Health, Safety and Environment procedures and policy, Diversity initiatives and Zero Harm goals. </w:t>
      </w:r>
    </w:p>
    <w:p w14:paraId="55C6676F" w14:textId="77777777" w:rsidR="00B34DEA" w:rsidRDefault="00B34DEA" w:rsidP="00B34DEA">
      <w:pPr>
        <w:pStyle w:val="ListParagraph"/>
        <w:numPr>
          <w:ilvl w:val="0"/>
          <w:numId w:val="29"/>
        </w:numPr>
        <w:spacing w:before="0" w:after="60" w:line="240" w:lineRule="auto"/>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2AAA0B26" w14:textId="77777777" w:rsidR="00110A04" w:rsidRPr="002A7FF5" w:rsidRDefault="00110A04" w:rsidP="00110A04">
      <w:pPr>
        <w:pStyle w:val="ListParagraph"/>
        <w:numPr>
          <w:ilvl w:val="0"/>
          <w:numId w:val="25"/>
        </w:numPr>
        <w:spacing w:before="0" w:after="0" w:line="259" w:lineRule="auto"/>
        <w:rPr>
          <w:rFonts w:cstheme="minorHAnsi"/>
          <w:szCs w:val="24"/>
        </w:rPr>
      </w:pPr>
      <w:r w:rsidRPr="002A7FF5">
        <w:rPr>
          <w:rFonts w:cstheme="minorHAnsi"/>
          <w:szCs w:val="24"/>
        </w:rPr>
        <w:t>A PhD (or an equivalent combination of qualifications and research experience) in a relevant field such as virology, molecular biology, biotechnology or similar.</w:t>
      </w:r>
    </w:p>
    <w:p w14:paraId="587A6ADF" w14:textId="77777777" w:rsidR="00110A04" w:rsidRPr="002A7FF5" w:rsidRDefault="00110A04" w:rsidP="00110A04">
      <w:pPr>
        <w:pStyle w:val="ListParagraph"/>
        <w:spacing w:after="0"/>
        <w:rPr>
          <w:rFonts w:cstheme="minorHAnsi"/>
          <w:szCs w:val="24"/>
        </w:rPr>
      </w:pPr>
    </w:p>
    <w:p w14:paraId="6B62E472" w14:textId="77777777" w:rsidR="00110A04" w:rsidRPr="002A7FF5" w:rsidRDefault="00110A04" w:rsidP="00110A04">
      <w:pPr>
        <w:pStyle w:val="ListParagraph"/>
        <w:numPr>
          <w:ilvl w:val="0"/>
          <w:numId w:val="25"/>
        </w:numPr>
        <w:autoSpaceDE w:val="0"/>
        <w:autoSpaceDN w:val="0"/>
        <w:adjustRightInd w:val="0"/>
        <w:spacing w:before="0" w:after="0" w:line="240" w:lineRule="auto"/>
        <w:rPr>
          <w:rFonts w:cstheme="minorHAnsi"/>
          <w:szCs w:val="24"/>
        </w:rPr>
      </w:pPr>
      <w:r w:rsidRPr="002A7FF5">
        <w:rPr>
          <w:rFonts w:cstheme="minorHAnsi"/>
          <w:szCs w:val="24"/>
        </w:rPr>
        <w:t>Demonstrated practical experience in aquatic</w:t>
      </w:r>
      <w:r>
        <w:rPr>
          <w:rFonts w:cstheme="minorHAnsi"/>
          <w:szCs w:val="24"/>
        </w:rPr>
        <w:t xml:space="preserve"> animal</w:t>
      </w:r>
      <w:r w:rsidRPr="002A7FF5">
        <w:rPr>
          <w:rFonts w:cstheme="minorHAnsi"/>
          <w:szCs w:val="24"/>
        </w:rPr>
        <w:t xml:space="preserve"> research.</w:t>
      </w:r>
    </w:p>
    <w:p w14:paraId="4BE2D7C8" w14:textId="77777777" w:rsidR="00110A04" w:rsidRPr="002A7FF5" w:rsidRDefault="00110A04" w:rsidP="00110A04">
      <w:pPr>
        <w:pStyle w:val="ListParagraph"/>
        <w:autoSpaceDE w:val="0"/>
        <w:autoSpaceDN w:val="0"/>
        <w:adjustRightInd w:val="0"/>
        <w:spacing w:after="0" w:line="240" w:lineRule="auto"/>
        <w:rPr>
          <w:rFonts w:cstheme="minorHAnsi"/>
          <w:szCs w:val="24"/>
        </w:rPr>
      </w:pPr>
    </w:p>
    <w:p w14:paraId="587D02EC" w14:textId="77777777" w:rsidR="00110A04" w:rsidRPr="002A7FF5" w:rsidRDefault="00110A04" w:rsidP="00110A04">
      <w:pPr>
        <w:pStyle w:val="ListParagraph"/>
        <w:numPr>
          <w:ilvl w:val="0"/>
          <w:numId w:val="25"/>
        </w:numPr>
        <w:autoSpaceDE w:val="0"/>
        <w:autoSpaceDN w:val="0"/>
        <w:adjustRightInd w:val="0"/>
        <w:spacing w:before="0" w:after="0" w:line="240" w:lineRule="auto"/>
        <w:rPr>
          <w:rFonts w:cstheme="minorHAnsi"/>
          <w:szCs w:val="24"/>
        </w:rPr>
      </w:pPr>
      <w:r w:rsidRPr="002A7FF5">
        <w:rPr>
          <w:rFonts w:cstheme="minorHAnsi"/>
          <w:szCs w:val="24"/>
        </w:rPr>
        <w:t>Demonstrated ability and willingness to contribute ideas and new approaches to meet experimental needs where methods are not</w:t>
      </w:r>
      <w:r>
        <w:rPr>
          <w:rFonts w:cstheme="minorHAnsi"/>
          <w:szCs w:val="24"/>
        </w:rPr>
        <w:t xml:space="preserve"> clearly</w:t>
      </w:r>
      <w:r w:rsidRPr="002A7FF5">
        <w:rPr>
          <w:rFonts w:cstheme="minorHAnsi"/>
          <w:szCs w:val="24"/>
        </w:rPr>
        <w:t xml:space="preserve"> defined.</w:t>
      </w:r>
    </w:p>
    <w:p w14:paraId="4EE60DD2" w14:textId="77777777" w:rsidR="00110A04" w:rsidRPr="002A7FF5" w:rsidRDefault="00110A04" w:rsidP="00110A04">
      <w:pPr>
        <w:spacing w:after="0"/>
        <w:rPr>
          <w:rFonts w:cstheme="minorHAnsi"/>
          <w:szCs w:val="24"/>
        </w:rPr>
      </w:pPr>
    </w:p>
    <w:p w14:paraId="6AAD1551" w14:textId="77777777" w:rsidR="00110A04" w:rsidRPr="002A7FF5" w:rsidRDefault="00110A04" w:rsidP="00110A04">
      <w:pPr>
        <w:numPr>
          <w:ilvl w:val="0"/>
          <w:numId w:val="25"/>
        </w:numPr>
        <w:spacing w:before="0" w:after="0" w:line="240" w:lineRule="auto"/>
        <w:rPr>
          <w:rFonts w:cstheme="minorHAnsi"/>
          <w:szCs w:val="24"/>
        </w:rPr>
      </w:pPr>
      <w:r w:rsidRPr="002A7FF5">
        <w:rPr>
          <w:rFonts w:cstheme="minorHAnsi"/>
          <w:szCs w:val="24"/>
        </w:rPr>
        <w:t>Experience</w:t>
      </w:r>
      <w:r>
        <w:rPr>
          <w:rFonts w:cstheme="minorHAnsi"/>
          <w:szCs w:val="24"/>
        </w:rPr>
        <w:t xml:space="preserve">d </w:t>
      </w:r>
      <w:r w:rsidRPr="002A7FF5">
        <w:rPr>
          <w:rFonts w:cstheme="minorHAnsi"/>
          <w:szCs w:val="24"/>
        </w:rPr>
        <w:t>working independently and co-operatively as a member of a larger project team, with a demonstrated ability to form and maintain effective and respectful relationships with a range of colleagues and collaborators.</w:t>
      </w:r>
    </w:p>
    <w:p w14:paraId="0D17B113" w14:textId="77777777" w:rsidR="00110A04" w:rsidRPr="002A7FF5" w:rsidRDefault="00110A04" w:rsidP="00110A04">
      <w:pPr>
        <w:spacing w:after="0" w:line="240" w:lineRule="auto"/>
        <w:rPr>
          <w:rFonts w:cstheme="minorHAnsi"/>
          <w:szCs w:val="24"/>
        </w:rPr>
      </w:pPr>
    </w:p>
    <w:p w14:paraId="60F0E7EA" w14:textId="77777777" w:rsidR="00110A04" w:rsidRPr="002A7FF5" w:rsidRDefault="00110A04" w:rsidP="00110A04">
      <w:pPr>
        <w:numPr>
          <w:ilvl w:val="0"/>
          <w:numId w:val="25"/>
        </w:numPr>
        <w:spacing w:before="0" w:after="0" w:line="240" w:lineRule="auto"/>
        <w:rPr>
          <w:rFonts w:cstheme="minorHAnsi"/>
          <w:szCs w:val="24"/>
        </w:rPr>
      </w:pPr>
      <w:r w:rsidRPr="002A7FF5">
        <w:rPr>
          <w:rFonts w:cstheme="minorHAnsi"/>
          <w:szCs w:val="24"/>
        </w:rPr>
        <w:t>Strong written and verbal communication skills, including the ability to document results, write reports and communicate effectively with colleagues and other stakeholders.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0C9467A4" w14:textId="77777777" w:rsidR="00110A04" w:rsidRPr="002A7FF5" w:rsidRDefault="00110A04" w:rsidP="00110A04">
      <w:pPr>
        <w:pStyle w:val="ListParagraph"/>
        <w:numPr>
          <w:ilvl w:val="0"/>
          <w:numId w:val="26"/>
        </w:numPr>
        <w:autoSpaceDE w:val="0"/>
        <w:autoSpaceDN w:val="0"/>
        <w:adjustRightInd w:val="0"/>
        <w:spacing w:before="0" w:after="0" w:line="240" w:lineRule="auto"/>
        <w:rPr>
          <w:rFonts w:eastAsia="Times New Roman" w:cstheme="minorHAnsi"/>
          <w:szCs w:val="24"/>
        </w:rPr>
      </w:pPr>
      <w:r w:rsidRPr="002A7FF5">
        <w:rPr>
          <w:rFonts w:cstheme="minorHAnsi"/>
          <w:szCs w:val="24"/>
        </w:rPr>
        <w:t>Experience with aquatic</w:t>
      </w:r>
      <w:r>
        <w:rPr>
          <w:rFonts w:cstheme="minorHAnsi"/>
          <w:szCs w:val="24"/>
        </w:rPr>
        <w:t xml:space="preserve"> animal</w:t>
      </w:r>
      <w:r w:rsidRPr="002A7FF5">
        <w:rPr>
          <w:rFonts w:cstheme="minorHAnsi"/>
          <w:szCs w:val="24"/>
        </w:rPr>
        <w:t xml:space="preserve"> </w:t>
      </w:r>
      <w:r w:rsidRPr="002A7FF5">
        <w:rPr>
          <w:rFonts w:cstheme="minorHAnsi"/>
          <w:i/>
          <w:iCs/>
          <w:szCs w:val="24"/>
        </w:rPr>
        <w:t>in vivo</w:t>
      </w:r>
      <w:r w:rsidRPr="002A7FF5">
        <w:rPr>
          <w:rFonts w:cstheme="minorHAnsi"/>
          <w:szCs w:val="24"/>
        </w:rPr>
        <w:t xml:space="preserve"> studies and animal husbandry.</w:t>
      </w:r>
    </w:p>
    <w:p w14:paraId="3458C610" w14:textId="77777777" w:rsidR="00110A04" w:rsidRPr="002A7FF5" w:rsidRDefault="00110A04" w:rsidP="00110A04">
      <w:pPr>
        <w:pStyle w:val="ListParagraph"/>
        <w:autoSpaceDE w:val="0"/>
        <w:autoSpaceDN w:val="0"/>
        <w:adjustRightInd w:val="0"/>
        <w:spacing w:after="0" w:line="240" w:lineRule="auto"/>
        <w:rPr>
          <w:rFonts w:cstheme="minorHAnsi"/>
          <w:szCs w:val="24"/>
        </w:rPr>
      </w:pPr>
    </w:p>
    <w:p w14:paraId="4CB3123A" w14:textId="77777777" w:rsidR="00110A04" w:rsidRDefault="00110A04" w:rsidP="00110A04">
      <w:pPr>
        <w:pStyle w:val="ListParagraph"/>
        <w:numPr>
          <w:ilvl w:val="0"/>
          <w:numId w:val="26"/>
        </w:numPr>
        <w:autoSpaceDE w:val="0"/>
        <w:autoSpaceDN w:val="0"/>
        <w:adjustRightInd w:val="0"/>
        <w:spacing w:before="0" w:after="0" w:line="240" w:lineRule="auto"/>
        <w:rPr>
          <w:rFonts w:cstheme="minorHAnsi"/>
          <w:szCs w:val="24"/>
        </w:rPr>
      </w:pPr>
      <w:r w:rsidRPr="002A7FF5">
        <w:rPr>
          <w:rFonts w:cstheme="minorHAnsi"/>
          <w:szCs w:val="24"/>
        </w:rPr>
        <w:t>Experience in DNA sequencing and bioinformatic analysis.</w:t>
      </w:r>
    </w:p>
    <w:p w14:paraId="0CCF20AD" w14:textId="77777777" w:rsidR="00110A04" w:rsidRPr="002A7FF5" w:rsidRDefault="00110A04" w:rsidP="00110A04">
      <w:pPr>
        <w:pStyle w:val="ListParagraph"/>
        <w:rPr>
          <w:rFonts w:cstheme="minorHAnsi"/>
          <w:szCs w:val="24"/>
        </w:rPr>
      </w:pPr>
    </w:p>
    <w:p w14:paraId="01254C04" w14:textId="77777777" w:rsidR="00110A04" w:rsidRPr="002A7FF5" w:rsidRDefault="00110A04" w:rsidP="00110A04">
      <w:pPr>
        <w:pStyle w:val="ListParagraph"/>
        <w:numPr>
          <w:ilvl w:val="0"/>
          <w:numId w:val="26"/>
        </w:numPr>
        <w:autoSpaceDE w:val="0"/>
        <w:autoSpaceDN w:val="0"/>
        <w:adjustRightInd w:val="0"/>
        <w:spacing w:before="0" w:after="0" w:line="240" w:lineRule="auto"/>
        <w:rPr>
          <w:rFonts w:eastAsia="Times New Roman" w:cstheme="minorHAnsi"/>
          <w:szCs w:val="24"/>
        </w:rPr>
      </w:pPr>
      <w:r w:rsidRPr="002A7FF5">
        <w:rPr>
          <w:rFonts w:eastAsia="Times New Roman" w:cstheme="minorHAnsi"/>
          <w:szCs w:val="24"/>
        </w:rPr>
        <w:t xml:space="preserve">Experience in conducting laboratory‐based </w:t>
      </w:r>
      <w:r>
        <w:rPr>
          <w:rFonts w:eastAsia="Times New Roman" w:cstheme="minorHAnsi"/>
          <w:szCs w:val="24"/>
        </w:rPr>
        <w:t xml:space="preserve">molecular </w:t>
      </w:r>
      <w:r w:rsidRPr="002A7FF5">
        <w:rPr>
          <w:rFonts w:eastAsia="Times New Roman" w:cstheme="minorHAnsi"/>
          <w:szCs w:val="24"/>
        </w:rPr>
        <w:t>diagnostic tests</w:t>
      </w:r>
      <w:r>
        <w:rPr>
          <w:rFonts w:eastAsia="Times New Roman" w:cstheme="minorHAnsi"/>
          <w:szCs w:val="24"/>
        </w:rPr>
        <w:t xml:space="preserve"> within a quality management system (</w:t>
      </w:r>
      <w:proofErr w:type="gramStart"/>
      <w:r>
        <w:rPr>
          <w:rFonts w:eastAsia="Times New Roman" w:cstheme="minorHAnsi"/>
          <w:szCs w:val="24"/>
        </w:rPr>
        <w:t>e.g.</w:t>
      </w:r>
      <w:proofErr w:type="gramEnd"/>
      <w:r>
        <w:rPr>
          <w:rFonts w:eastAsia="Times New Roman" w:cstheme="minorHAnsi"/>
          <w:szCs w:val="24"/>
        </w:rPr>
        <w:t xml:space="preserve"> ISO17025).</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EC5B75A" w14:textId="77777777" w:rsidR="00110A04" w:rsidRDefault="00110A04" w:rsidP="00110A04">
      <w:pPr>
        <w:pStyle w:val="Boxedheading"/>
        <w:numPr>
          <w:ilvl w:val="0"/>
          <w:numId w:val="27"/>
        </w:numPr>
        <w:pBdr>
          <w:top w:val="none" w:sz="0" w:space="0" w:color="auto"/>
          <w:left w:val="none" w:sz="0" w:space="0" w:color="auto"/>
          <w:bottom w:val="none" w:sz="0" w:space="0" w:color="auto"/>
          <w:right w:val="none" w:sz="0" w:space="0" w:color="auto"/>
        </w:pBdr>
        <w:spacing w:after="120"/>
        <w:ind w:right="0"/>
      </w:pPr>
      <w:r>
        <w:t>Special Requirements</w:t>
      </w:r>
    </w:p>
    <w:p w14:paraId="3217F726"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lastRenderedPageBreak/>
        <w:t>Security Assessment and Microbiological Security Requirements for Personnel Working on the Australian Centre for Disease Preparedness (ACDP) Site:</w:t>
      </w:r>
    </w:p>
    <w:p w14:paraId="5C714598"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0087BB6E"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722E0AF4"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2.</w:t>
      </w:r>
      <w:r>
        <w:rPr>
          <w:iCs/>
        </w:rPr>
        <w:tab/>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Pr>
          <w:iCs/>
        </w:rPr>
        <w:t>emus</w:t>
      </w:r>
      <w:proofErr w:type="gramEnd"/>
      <w:r>
        <w:rPr>
          <w:iCs/>
        </w:rPr>
        <w:t xml:space="preserve"> or ostriches. Personnel working with diseases of aquatic animals may not keep aquarium fish at their place of residence and at times specific species may be excluded depending on the nature of the work conducted.</w:t>
      </w:r>
    </w:p>
    <w:p w14:paraId="6B6721FC"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3.</w:t>
      </w:r>
      <w:r>
        <w:rPr>
          <w:iCs/>
        </w:rPr>
        <w:tab/>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Pr>
          <w:iCs/>
        </w:rPr>
        <w:t>held, or</w:t>
      </w:r>
      <w:proofErr w:type="gramEnd"/>
      <w:r>
        <w:rPr>
          <w:iCs/>
        </w:rPr>
        <w:t xml:space="preserve"> visit any aquatic animal farm or aquatic animal hatchery.</w:t>
      </w:r>
    </w:p>
    <w:p w14:paraId="6E8FA2C6"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4.</w:t>
      </w:r>
      <w:r>
        <w:rPr>
          <w:iCs/>
        </w:rPr>
        <w:tab/>
        <w:t xml:space="preserve">Working in the barrier maintained Small Animal Facility or the Werribee Animal Health Farm requires avoidance of additional animals such as mice, rats, guinea pigs, rabbits, </w:t>
      </w:r>
      <w:proofErr w:type="gramStart"/>
      <w:r>
        <w:rPr>
          <w:iCs/>
        </w:rPr>
        <w:t>ferrets</w:t>
      </w:r>
      <w:proofErr w:type="gramEnd"/>
      <w:r>
        <w:rPr>
          <w:iCs/>
        </w:rPr>
        <w:t xml:space="preserve"> and poultry of a minimum of 3 days prior to arrival.</w:t>
      </w:r>
    </w:p>
    <w:p w14:paraId="17648B3B"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073E0F4F"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6.</w:t>
      </w:r>
      <w:r>
        <w:rPr>
          <w:iCs/>
        </w:rPr>
        <w:tab/>
        <w:t xml:space="preserve">Positions working at PC4 will also require a pre-employment psychological assessment. </w:t>
      </w:r>
    </w:p>
    <w:p w14:paraId="72DDF801"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88021F1"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76A303D2"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66D6975B" w14:textId="77777777" w:rsidR="00110A04"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Pr>
          <w:iCs/>
        </w:rPr>
        <w:t>10.</w:t>
      </w:r>
      <w:r>
        <w:rPr>
          <w:iCs/>
        </w:rPr>
        <w:tab/>
        <w:t>Access restrictions apply to the Werribee Animal Health Facility (WAHF) site that is associated with, but remote from, the ACDP site.</w:t>
      </w:r>
    </w:p>
    <w:p w14:paraId="517978DE" w14:textId="77777777" w:rsidR="00110A04" w:rsidRDefault="00110A04" w:rsidP="00110A04">
      <w:pPr>
        <w:pStyle w:val="Boxedlistbullet"/>
        <w:keepNext/>
        <w:keepLines/>
        <w:numPr>
          <w:ilvl w:val="0"/>
          <w:numId w:val="27"/>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3C1EAB53" w14:textId="77777777" w:rsidR="00110A04" w:rsidRPr="008C44AA"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sidRPr="008C44AA">
        <w:t>1.</w:t>
      </w:r>
      <w:r w:rsidRPr="008C44AA">
        <w:tab/>
        <w:t xml:space="preserve">Obtain and provide evidence of a National Police Clearance or equivalent. Please note that individuals with criminal records are not automatically deemed ineligible. Each application will be considered on its merits. </w:t>
      </w:r>
    </w:p>
    <w:p w14:paraId="7F9F5E59" w14:textId="77777777" w:rsidR="00110A04" w:rsidRPr="008C44AA"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pPr>
      <w:r w:rsidRPr="008C44AA">
        <w:rPr>
          <w:iCs/>
        </w:rPr>
        <w:t>2.</w:t>
      </w:r>
      <w:r w:rsidRPr="008C44AA">
        <w:rPr>
          <w:iCs/>
        </w:rPr>
        <w:tab/>
      </w:r>
      <w:r w:rsidRPr="008C44AA">
        <w:t>Undertake a National Health Security Check (to be arranged post-commencement).</w:t>
      </w:r>
    </w:p>
    <w:p w14:paraId="1FF37C50" w14:textId="77777777" w:rsidR="00110A04" w:rsidRPr="008C44AA" w:rsidRDefault="00110A04" w:rsidP="00110A04">
      <w:pPr>
        <w:pStyle w:val="Boxedlistbullet"/>
        <w:numPr>
          <w:ilvl w:val="0"/>
          <w:numId w:val="27"/>
        </w:numPr>
        <w:pBdr>
          <w:top w:val="none" w:sz="0" w:space="0" w:color="auto"/>
          <w:left w:val="none" w:sz="0" w:space="0" w:color="auto"/>
          <w:bottom w:val="none" w:sz="0" w:space="0" w:color="auto"/>
          <w:right w:val="none" w:sz="0" w:space="0" w:color="auto"/>
        </w:pBdr>
        <w:tabs>
          <w:tab w:val="left" w:pos="426"/>
        </w:tabs>
        <w:spacing w:after="120"/>
        <w:ind w:right="0"/>
        <w:contextualSpacing w:val="0"/>
        <w:rPr>
          <w:iCs/>
        </w:rPr>
      </w:pPr>
      <w:r w:rsidRPr="008C44AA">
        <w:rPr>
          <w:iCs/>
        </w:rPr>
        <w:t>3.</w:t>
      </w:r>
      <w:r w:rsidRPr="008C44AA">
        <w:rPr>
          <w:iCs/>
        </w:rPr>
        <w:tab/>
      </w:r>
      <w:r w:rsidRPr="008C44AA">
        <w:t>Obtain and maintain a security clearance at the Negative Vetting Level 1 (to be arranged post-commencement).</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lastRenderedPageBreak/>
        <w:t>About CSIRO</w:t>
      </w:r>
    </w:p>
    <w:bookmarkEnd w:id="1"/>
    <w:p w14:paraId="0B23B872" w14:textId="0F6E14B7"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r w:rsidR="00F4176A" w:rsidRPr="673A0CDE">
          <w:rPr>
            <w:rStyle w:val="Hyperlink"/>
          </w:rPr>
          <w:t>Australian Centre for Disease Preparedness</w:t>
        </w:r>
      </w:hyperlink>
      <w:r w:rsidR="00F4176A">
        <w:rPr>
          <w:rStyle w:val="Hyperlink"/>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EDA8" w14:textId="77777777" w:rsidR="008A5927" w:rsidRDefault="008A5927" w:rsidP="000A377A">
      <w:r>
        <w:separator/>
      </w:r>
    </w:p>
  </w:endnote>
  <w:endnote w:type="continuationSeparator" w:id="0">
    <w:p w14:paraId="7C0F976B" w14:textId="77777777" w:rsidR="008A5927" w:rsidRDefault="008A5927" w:rsidP="000A377A">
      <w:r>
        <w:continuationSeparator/>
      </w:r>
    </w:p>
  </w:endnote>
  <w:endnote w:type="continuationNotice" w:id="1">
    <w:p w14:paraId="59510BB6" w14:textId="77777777" w:rsidR="008A5927" w:rsidRDefault="008A59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E5E" w14:textId="77777777" w:rsidR="008A5927" w:rsidRDefault="008A5927" w:rsidP="000A377A">
      <w:r>
        <w:separator/>
      </w:r>
    </w:p>
  </w:footnote>
  <w:footnote w:type="continuationSeparator" w:id="0">
    <w:p w14:paraId="60C338FF" w14:textId="77777777" w:rsidR="008A5927" w:rsidRDefault="008A5927" w:rsidP="000A377A">
      <w:r>
        <w:continuationSeparator/>
      </w:r>
    </w:p>
  </w:footnote>
  <w:footnote w:type="continuationNotice" w:id="1">
    <w:p w14:paraId="7784AA1F" w14:textId="77777777" w:rsidR="008A5927" w:rsidRDefault="008A59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D05425"/>
    <w:multiLevelType w:val="hybridMultilevel"/>
    <w:tmpl w:val="D3F4E5EA"/>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4C7D8C"/>
    <w:multiLevelType w:val="hybridMultilevel"/>
    <w:tmpl w:val="D0B2E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7231BC"/>
    <w:multiLevelType w:val="hybridMultilevel"/>
    <w:tmpl w:val="A53EC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8"/>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zeyMDI0NjUztjRX0lEKTi0uzszPAykwrgUAPs1VO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6A38"/>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29FD"/>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0A04"/>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49B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D6953"/>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5B3B"/>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2CD9"/>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6F37"/>
    <w:rsid w:val="0076761A"/>
    <w:rsid w:val="007715E7"/>
    <w:rsid w:val="0077267C"/>
    <w:rsid w:val="007746B9"/>
    <w:rsid w:val="00774973"/>
    <w:rsid w:val="00774E5B"/>
    <w:rsid w:val="00775263"/>
    <w:rsid w:val="00775640"/>
    <w:rsid w:val="00782F57"/>
    <w:rsid w:val="00783370"/>
    <w:rsid w:val="007849CB"/>
    <w:rsid w:val="00786D64"/>
    <w:rsid w:val="00792235"/>
    <w:rsid w:val="007931D1"/>
    <w:rsid w:val="007937A6"/>
    <w:rsid w:val="00793F43"/>
    <w:rsid w:val="0079514E"/>
    <w:rsid w:val="007970B5"/>
    <w:rsid w:val="00797CAB"/>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5927"/>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3C0C"/>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DEA"/>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01A"/>
    <w:rsid w:val="00BD6EE2"/>
    <w:rsid w:val="00BD768B"/>
    <w:rsid w:val="00BD7C8D"/>
    <w:rsid w:val="00BD7E41"/>
    <w:rsid w:val="00BE0CE3"/>
    <w:rsid w:val="00BE24DC"/>
    <w:rsid w:val="00BE3379"/>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4C2"/>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3F"/>
    <w:rsid w:val="00D60D3A"/>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176A"/>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B1B5B"/>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Props1.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589B49FC-8C9F-43EA-B512-2E2950788DB8}">
  <ds:schemaRefs>
    <ds:schemaRef ds:uri="http://schemas.openxmlformats.org/officeDocument/2006/bibliography"/>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5.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1500</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10822</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2</cp:revision>
  <cp:lastPrinted>2012-02-01T05:32:00Z</cp:lastPrinted>
  <dcterms:created xsi:type="dcterms:W3CDTF">2022-09-12T00:32:00Z</dcterms:created>
  <dcterms:modified xsi:type="dcterms:W3CDTF">2022-09-12T00:32:00Z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