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4FA860CE" w:rsidR="00CC201B" w:rsidRPr="0093721B" w:rsidRDefault="00463DF6"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Scientist - </w:t>
            </w:r>
            <w:r w:rsidR="00326C82">
              <w:rPr>
                <w:sz w:val="22"/>
              </w:rPr>
              <w:t>Bioinformatician</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1BDA63BD" w:rsidR="00CC201B" w:rsidRPr="0093721B" w:rsidRDefault="001261E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91647</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160E4B78"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40757058"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261EC">
              <w:rPr>
                <w:sz w:val="22"/>
              </w:rPr>
              <w:t>105,806</w:t>
            </w:r>
            <w:r w:rsidR="001261EC" w:rsidRPr="0093721B">
              <w:rPr>
                <w:sz w:val="22"/>
              </w:rPr>
              <w:t xml:space="preserve"> </w:t>
            </w:r>
            <w:r>
              <w:rPr>
                <w:sz w:val="22"/>
              </w:rPr>
              <w:t>-</w:t>
            </w:r>
            <w:r w:rsidRPr="0093721B">
              <w:rPr>
                <w:sz w:val="22"/>
              </w:rPr>
              <w:t xml:space="preserve"> AU$</w:t>
            </w:r>
            <w:r w:rsidR="001261EC">
              <w:rPr>
                <w:sz w:val="22"/>
              </w:rPr>
              <w:t>114,500</w:t>
            </w:r>
            <w:r w:rsidR="001261EC" w:rsidRPr="0093721B">
              <w:rPr>
                <w:sz w:val="22"/>
              </w:rPr>
              <w:t xml:space="preserve"> </w:t>
            </w:r>
            <w:r w:rsidRPr="0093721B">
              <w:rPr>
                <w:sz w:val="22"/>
              </w:rPr>
              <w:t>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588B1C6E" w:rsidR="00926BE4" w:rsidRPr="0093721B" w:rsidRDefault="00326C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ACDP, Geelong</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4A50F281" w14:textId="7463B862" w:rsidR="00926BE4" w:rsidRDefault="00CB2908" w:rsidP="00E475F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Australian / New Zealand Citizens</w:t>
            </w:r>
          </w:p>
          <w:p w14:paraId="0483E1C1" w14:textId="77777777" w:rsidR="00CB2908" w:rsidRDefault="00CB2908" w:rsidP="00CB290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Australian Permanent Residents</w:t>
            </w:r>
          </w:p>
          <w:p w14:paraId="07330F3A" w14:textId="09DD3E07" w:rsidR="00CB2908" w:rsidRPr="00CB2908" w:rsidRDefault="00CB2908" w:rsidP="00E475F4">
            <w:pPr>
              <w:pStyle w:val="TableText"/>
              <w:cnfStyle w:val="000000100000" w:firstRow="0" w:lastRow="0" w:firstColumn="0" w:lastColumn="0" w:oddVBand="0" w:evenVBand="0" w:oddHBand="1" w:evenHBand="0" w:firstRowFirstColumn="0" w:firstRowLastColumn="0" w:lastRowFirstColumn="0" w:lastRowLastColumn="0"/>
              <w:rPr>
                <w:sz w:val="22"/>
              </w:rPr>
            </w:pPr>
            <w:r w:rsidRPr="00E475F4">
              <w:rPr>
                <w:sz w:val="22"/>
              </w:rPr>
              <w:t xml:space="preserve">Australian Temporary Residents with </w:t>
            </w:r>
            <w:proofErr w:type="gramStart"/>
            <w:r w:rsidRPr="00E475F4">
              <w:rPr>
                <w:sz w:val="22"/>
              </w:rPr>
              <w:t>a  valid</w:t>
            </w:r>
            <w:proofErr w:type="gramEnd"/>
            <w:r w:rsidRPr="00E475F4">
              <w:rPr>
                <w:sz w:val="22"/>
              </w:rPr>
              <w:t xml:space="preserve"> working visa </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066B9CC3" w:rsidR="00C45886" w:rsidRPr="0093721B" w:rsidRDefault="00326C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4EF02F32" w:rsidR="00926BE4" w:rsidRPr="0093721B" w:rsidRDefault="00326C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26C82">
              <w:rPr>
                <w:sz w:val="22"/>
              </w:rPr>
              <w:t>80</w:t>
            </w:r>
            <w:r w:rsidR="00F54F83" w:rsidRPr="00326C82">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2CDAEF78" w:rsidR="00926BE4" w:rsidRPr="0093721B" w:rsidRDefault="00326C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26C82">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149344D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6C82">
              <w:rPr>
                <w:sz w:val="22"/>
              </w:rPr>
              <w:t xml:space="preserve">Contact </w:t>
            </w:r>
            <w:r w:rsidR="00326C82" w:rsidRPr="00326C82">
              <w:rPr>
                <w:sz w:val="22"/>
              </w:rPr>
              <w:t>Petrus Jansen van Vuren</w:t>
            </w:r>
            <w:r w:rsidRPr="00326C82">
              <w:rPr>
                <w:sz w:val="22"/>
              </w:rPr>
              <w:t xml:space="preserve"> via email at </w:t>
            </w:r>
            <w:hyperlink r:id="rId12" w:history="1">
              <w:r w:rsidR="00326C82" w:rsidRPr="00CB0517">
                <w:rPr>
                  <w:rStyle w:val="Hyperlink"/>
                  <w:sz w:val="22"/>
                </w:rPr>
                <w:t>petrus.jansenvanvuren@csiro.au</w:t>
              </w:r>
            </w:hyperlink>
            <w:r w:rsidR="00326C82">
              <w:rPr>
                <w:sz w:val="22"/>
              </w:rPr>
              <w:t xml:space="preserve"> </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61926DA4" w:rsidR="000F040B" w:rsidRDefault="000F040B" w:rsidP="00787346">
      <w:bookmarkStart w:id="1" w:name="_Toc341085720"/>
      <w:r w:rsidRPr="000F040B">
        <w:t>The role of</w:t>
      </w:r>
      <w:r w:rsidR="009C22DF">
        <w:t xml:space="preserve"> a</w:t>
      </w:r>
      <w:r w:rsidRPr="000F040B">
        <w:t xml:space="preserve"> Research Scientist</w:t>
      </w:r>
      <w:r w:rsidR="009C22DF">
        <w:t xml:space="preserve"> in CSIRO</w:t>
      </w:r>
      <w:r w:rsidRPr="000F040B">
        <w:t xml:space="preserve"> is to conduct innovative research leading to scientific achievements that are aligned with CSIRO’s strategies. </w:t>
      </w:r>
      <w:r w:rsidR="009C22DF">
        <w:t>A</w:t>
      </w:r>
      <w:r w:rsidR="00FD2C8C">
        <w:t xml:space="preserve"> </w:t>
      </w:r>
      <w:r w:rsidR="005A4AF6">
        <w:t>Research Scientist</w:t>
      </w:r>
      <w:r w:rsidRPr="000F040B">
        <w:t xml:space="preserve"> may be engaged in scientific activity ranging from fundamental research to the investigation of specific industry or community problems. </w:t>
      </w:r>
      <w:r w:rsidR="003D5FF8">
        <w:t>The Research Scientist</w:t>
      </w:r>
      <w:r w:rsidR="003D5FF8" w:rsidRPr="000F040B">
        <w:t xml:space="preserve"> </w:t>
      </w:r>
      <w:r w:rsidRPr="000F040B">
        <w:t xml:space="preserve">will have the opportunity to build and maintain </w:t>
      </w:r>
      <w:r w:rsidRPr="000F040B">
        <w:lastRenderedPageBreak/>
        <w:t xml:space="preserve">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1239A72E" w14:textId="77777777" w:rsidR="009C22DF" w:rsidRDefault="009C22DF" w:rsidP="002F0C35">
      <w:pPr>
        <w:spacing w:before="0"/>
        <w:rPr>
          <w:bCs/>
          <w:iCs/>
        </w:rPr>
      </w:pPr>
    </w:p>
    <w:p w14:paraId="5A4E4C68" w14:textId="1C0DE5CE" w:rsidR="002F0C35" w:rsidRPr="00FE66EE" w:rsidRDefault="009C22DF" w:rsidP="002F0C35">
      <w:pPr>
        <w:spacing w:before="0"/>
      </w:pPr>
      <w:r w:rsidRPr="009C22DF">
        <w:rPr>
          <w:bCs/>
          <w:iCs/>
        </w:rPr>
        <w:t xml:space="preserve">We are seeking a highly motivated </w:t>
      </w:r>
      <w:r w:rsidR="00BC5461">
        <w:rPr>
          <w:bCs/>
          <w:iCs/>
        </w:rPr>
        <w:t>bioinformatician/</w:t>
      </w:r>
      <w:r w:rsidRPr="009C22DF">
        <w:rPr>
          <w:bCs/>
          <w:iCs/>
        </w:rPr>
        <w:t xml:space="preserve">bioinformatics data analyst to join </w:t>
      </w:r>
      <w:r>
        <w:rPr>
          <w:bCs/>
          <w:iCs/>
        </w:rPr>
        <w:t>the Immunomics team,</w:t>
      </w:r>
      <w:r w:rsidRPr="009C22DF">
        <w:rPr>
          <w:bCs/>
          <w:iCs/>
        </w:rPr>
        <w:t xml:space="preserve"> focused on investigating the immune system in infectious diseases. The successful candidate will be responsible for performing data analysis including NGS analysis and sequence analysis from experiments conducted in the lab. The focus of this role will be on</w:t>
      </w:r>
      <w:r>
        <w:rPr>
          <w:bCs/>
          <w:iCs/>
        </w:rPr>
        <w:t xml:space="preserve"> vaccine design,</w:t>
      </w:r>
      <w:r w:rsidRPr="009C22DF">
        <w:rPr>
          <w:bCs/>
          <w:iCs/>
        </w:rPr>
        <w:t xml:space="preserve"> transcriptomics,</w:t>
      </w:r>
      <w:r>
        <w:rPr>
          <w:bCs/>
          <w:iCs/>
        </w:rPr>
        <w:t xml:space="preserve"> immune pathway analysis, </w:t>
      </w:r>
      <w:r w:rsidRPr="009C22DF">
        <w:rPr>
          <w:bCs/>
          <w:iCs/>
        </w:rPr>
        <w:t>identifying new potential diagnostic biomarkers as well as candidates for therapeutic intervention and vaccine design</w:t>
      </w:r>
      <w:r>
        <w:rPr>
          <w:bCs/>
          <w:iCs/>
        </w:rPr>
        <w:t>, data visualisation and analysis pipeline development.</w:t>
      </w:r>
    </w:p>
    <w:p w14:paraId="3DAEACA1" w14:textId="3E7CE062" w:rsidR="00B50C20" w:rsidRPr="00B50C20" w:rsidRDefault="00B50C20" w:rsidP="00B50C20">
      <w:pPr>
        <w:pStyle w:val="Heading3"/>
      </w:pPr>
      <w:r w:rsidRPr="00B50C20">
        <w:t>Duties and Key Result Areas</w:t>
      </w:r>
    </w:p>
    <w:p w14:paraId="14DE8D5A" w14:textId="77777777" w:rsidR="009C22DF" w:rsidRPr="009C22DF" w:rsidRDefault="009C22DF" w:rsidP="009C22DF">
      <w:pPr>
        <w:pStyle w:val="ListParagraph"/>
        <w:numPr>
          <w:ilvl w:val="0"/>
          <w:numId w:val="14"/>
        </w:numPr>
        <w:spacing w:after="60" w:line="240" w:lineRule="auto"/>
        <w:ind w:left="470" w:hanging="364"/>
        <w:rPr>
          <w:rFonts w:eastAsiaTheme="minorHAnsi"/>
          <w:szCs w:val="24"/>
        </w:rPr>
      </w:pPr>
      <w:r w:rsidRPr="009C22DF">
        <w:rPr>
          <w:rFonts w:eastAsiaTheme="minorHAnsi"/>
          <w:szCs w:val="24"/>
        </w:rPr>
        <w:t>Develop pipelines for data processing and vaccine design</w:t>
      </w:r>
    </w:p>
    <w:p w14:paraId="38E176BC" w14:textId="77777777" w:rsidR="009C22DF" w:rsidRPr="009C22DF" w:rsidRDefault="009C22DF" w:rsidP="009C22DF">
      <w:pPr>
        <w:pStyle w:val="ListParagraph"/>
        <w:numPr>
          <w:ilvl w:val="0"/>
          <w:numId w:val="14"/>
        </w:numPr>
        <w:spacing w:after="60" w:line="240" w:lineRule="auto"/>
        <w:ind w:left="470" w:hanging="364"/>
        <w:rPr>
          <w:rFonts w:eastAsiaTheme="minorHAnsi"/>
          <w:szCs w:val="24"/>
        </w:rPr>
      </w:pPr>
      <w:r w:rsidRPr="009C22DF">
        <w:rPr>
          <w:rFonts w:eastAsiaTheme="minorHAnsi"/>
          <w:szCs w:val="24"/>
        </w:rPr>
        <w:t>Conduct NGS analysis and sequence analysis on transcriptomic data</w:t>
      </w:r>
    </w:p>
    <w:p w14:paraId="3C94D740" w14:textId="77777777" w:rsidR="009C22DF" w:rsidRPr="009C22DF" w:rsidRDefault="009C22DF" w:rsidP="009C22DF">
      <w:pPr>
        <w:pStyle w:val="ListParagraph"/>
        <w:numPr>
          <w:ilvl w:val="0"/>
          <w:numId w:val="14"/>
        </w:numPr>
        <w:spacing w:after="60" w:line="240" w:lineRule="auto"/>
        <w:ind w:left="470" w:hanging="364"/>
        <w:rPr>
          <w:rFonts w:eastAsiaTheme="minorHAnsi"/>
          <w:szCs w:val="24"/>
        </w:rPr>
      </w:pPr>
      <w:r w:rsidRPr="009C22DF">
        <w:rPr>
          <w:rFonts w:eastAsiaTheme="minorHAnsi"/>
          <w:szCs w:val="24"/>
        </w:rPr>
        <w:t>Identify new potential diagnostic biomarkers and candidates for therapeutic intervention and vaccine design</w:t>
      </w:r>
    </w:p>
    <w:p w14:paraId="35127AA2" w14:textId="77777777" w:rsidR="009C22DF" w:rsidRPr="009C22DF" w:rsidRDefault="009C22DF" w:rsidP="009C22DF">
      <w:pPr>
        <w:pStyle w:val="ListParagraph"/>
        <w:numPr>
          <w:ilvl w:val="0"/>
          <w:numId w:val="14"/>
        </w:numPr>
        <w:spacing w:after="60" w:line="240" w:lineRule="auto"/>
        <w:ind w:left="470" w:hanging="364"/>
        <w:rPr>
          <w:rFonts w:eastAsiaTheme="minorHAnsi"/>
          <w:szCs w:val="24"/>
        </w:rPr>
      </w:pPr>
      <w:r w:rsidRPr="009C22DF">
        <w:rPr>
          <w:rFonts w:eastAsiaTheme="minorHAnsi"/>
          <w:szCs w:val="24"/>
        </w:rPr>
        <w:t>Develop custom bioinformatics scripts using programming languages such as Python</w:t>
      </w:r>
    </w:p>
    <w:p w14:paraId="20F75E2A" w14:textId="6BCBF656" w:rsidR="009C22DF" w:rsidRPr="00167435" w:rsidRDefault="009C22DF" w:rsidP="00167435">
      <w:pPr>
        <w:pStyle w:val="ListParagraph"/>
        <w:numPr>
          <w:ilvl w:val="0"/>
          <w:numId w:val="10"/>
        </w:numPr>
        <w:spacing w:before="0" w:after="60" w:line="240" w:lineRule="auto"/>
        <w:ind w:left="470" w:hanging="364"/>
        <w:contextualSpacing w:val="0"/>
      </w:pPr>
      <w:r w:rsidRPr="009C22DF">
        <w:rPr>
          <w:rFonts w:eastAsiaTheme="minorHAnsi"/>
          <w:szCs w:val="24"/>
        </w:rPr>
        <w:t>Collaborate with lab members to design and execute experiments</w:t>
      </w:r>
      <w:r w:rsidR="00D16C14">
        <w:rPr>
          <w:rFonts w:eastAsiaTheme="minorHAnsi"/>
          <w:szCs w:val="24"/>
        </w:rPr>
        <w:t>.</w:t>
      </w:r>
      <w:r w:rsidR="00D16C14" w:rsidRPr="00D16C14">
        <w:t xml:space="preserve"> </w:t>
      </w:r>
      <w:r w:rsidR="00D16C14">
        <w:t xml:space="preserve">Undertake activities focused on one or more elements of larger research projects. </w:t>
      </w:r>
    </w:p>
    <w:p w14:paraId="4BDD98FF" w14:textId="77777777" w:rsidR="00D16C14" w:rsidRDefault="00D16C14" w:rsidP="00D16C14">
      <w:pPr>
        <w:pStyle w:val="ListParagraph"/>
        <w:numPr>
          <w:ilvl w:val="0"/>
          <w:numId w:val="10"/>
        </w:numPr>
        <w:spacing w:before="0" w:after="60" w:line="240" w:lineRule="auto"/>
        <w:ind w:left="470" w:hanging="364"/>
        <w:contextualSpacing w:val="0"/>
      </w:pPr>
      <w:r w:rsidRPr="00885B33">
        <w:t>Draw on professional expertise, knowledge of other disciplines and research experience</w:t>
      </w:r>
      <w:r>
        <w:t xml:space="preserve"> to</w:t>
      </w:r>
      <w:r w:rsidRPr="00885B33">
        <w:t xml:space="preserve"> recognise opportunities for innovation and generate new theoretical perspectives by pursuing new ideas and networking with scientific colleagues across a range of disciplines. </w:t>
      </w:r>
    </w:p>
    <w:p w14:paraId="1AC883F6" w14:textId="48487C90" w:rsidR="006E618F" w:rsidRDefault="006E618F" w:rsidP="00167435">
      <w:pPr>
        <w:pStyle w:val="ListParagraph"/>
        <w:numPr>
          <w:ilvl w:val="0"/>
          <w:numId w:val="10"/>
        </w:numPr>
        <w:spacing w:before="0" w:after="6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4D8D1718" w14:textId="77777777" w:rsidR="006E618F" w:rsidRDefault="006E618F" w:rsidP="006E618F">
      <w:pPr>
        <w:pStyle w:val="ListParagraph"/>
        <w:numPr>
          <w:ilvl w:val="0"/>
          <w:numId w:val="10"/>
        </w:numPr>
        <w:spacing w:before="0" w:after="60" w:line="240" w:lineRule="auto"/>
        <w:ind w:left="470" w:hanging="364"/>
        <w:contextualSpacing w:val="0"/>
      </w:pPr>
      <w:r>
        <w:t xml:space="preserve">Present results in a meaningful format, prepare reports for clients and/or write scientific papers for publication.  </w:t>
      </w:r>
    </w:p>
    <w:p w14:paraId="38BBDEF1" w14:textId="77777777" w:rsidR="006E618F" w:rsidRDefault="006E618F" w:rsidP="006E618F">
      <w:pPr>
        <w:pStyle w:val="ListParagraph"/>
        <w:numPr>
          <w:ilvl w:val="0"/>
          <w:numId w:val="10"/>
        </w:numPr>
        <w:spacing w:before="0" w:after="60" w:line="240" w:lineRule="auto"/>
        <w:ind w:left="470" w:hanging="364"/>
        <w:contextualSpacing w:val="0"/>
      </w:pPr>
      <w:r>
        <w:t>Address problems promptly and in a constructive manner.</w:t>
      </w:r>
    </w:p>
    <w:p w14:paraId="208C7BCA" w14:textId="17373C88" w:rsidR="006E618F" w:rsidRPr="00885B33" w:rsidRDefault="006E618F" w:rsidP="1642E0E7">
      <w:pPr>
        <w:pStyle w:val="ListParagraph"/>
        <w:numPr>
          <w:ilvl w:val="0"/>
          <w:numId w:val="10"/>
        </w:numPr>
        <w:spacing w:before="0" w:after="60" w:line="240" w:lineRule="auto"/>
        <w:ind w:left="470" w:hanging="364"/>
      </w:pPr>
      <w:r>
        <w:t>Provide supervision and coaching to students and technical staff.</w:t>
      </w:r>
    </w:p>
    <w:p w14:paraId="4D068BF3" w14:textId="77777777" w:rsidR="00885B33" w:rsidRPr="00885B33" w:rsidRDefault="00885B33" w:rsidP="00D923FE">
      <w:pPr>
        <w:pStyle w:val="ListParagraph"/>
        <w:numPr>
          <w:ilvl w:val="0"/>
          <w:numId w:val="10"/>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742F1D04" w14:textId="7EC36F6B" w:rsidR="00D42A85" w:rsidRPr="002E4A14" w:rsidRDefault="00D42A85" w:rsidP="00D42A85">
      <w:pPr>
        <w:pStyle w:val="ListParagraph"/>
        <w:numPr>
          <w:ilvl w:val="0"/>
          <w:numId w:val="10"/>
        </w:numPr>
        <w:spacing w:before="0" w:after="60" w:line="240" w:lineRule="auto"/>
        <w:ind w:left="470" w:hanging="364"/>
        <w:contextualSpacing w:val="0"/>
      </w:pPr>
      <w:r w:rsidRPr="002E4A14">
        <w:t>Work collaboratively as part of a multi-disciplinary</w:t>
      </w:r>
      <w:r w:rsidR="007A451B">
        <w:t xml:space="preserve"> </w:t>
      </w:r>
      <w:r w:rsidRPr="002E4A14">
        <w:t>research team to carry out tasks in support of CSIRO’s scientific objectives.</w:t>
      </w:r>
    </w:p>
    <w:p w14:paraId="4FD9C72F" w14:textId="19660D89" w:rsidR="00957795" w:rsidRDefault="00957795" w:rsidP="00D923FE">
      <w:pPr>
        <w:pStyle w:val="ListParagraph"/>
        <w:numPr>
          <w:ilvl w:val="0"/>
          <w:numId w:val="16"/>
        </w:numPr>
        <w:spacing w:before="0" w:after="60" w:line="240" w:lineRule="auto"/>
        <w:ind w:left="470" w:hanging="364"/>
      </w:pPr>
      <w:r>
        <w:t xml:space="preserve">Adhere to the spirit and practice of CSIRO’s Code of Conduct, Health, Safety and Environment procedures and policy, Diversity initiatives and </w:t>
      </w:r>
      <w:r w:rsidR="00B06D68">
        <w:t>Zero Harm</w:t>
      </w:r>
      <w:r>
        <w:t xml:space="preserve"> goals. </w:t>
      </w:r>
    </w:p>
    <w:p w14:paraId="70BB2319" w14:textId="3816CD59" w:rsidR="00885B33" w:rsidRDefault="00885B33" w:rsidP="00D923FE">
      <w:pPr>
        <w:pStyle w:val="ListParagraph"/>
        <w:numPr>
          <w:ilvl w:val="0"/>
          <w:numId w:val="10"/>
        </w:numPr>
        <w:spacing w:before="0" w:after="360" w:line="240" w:lineRule="auto"/>
        <w:ind w:left="471" w:hanging="363"/>
        <w:contextualSpacing w:val="0"/>
      </w:pPr>
      <w:r w:rsidRPr="00885B33">
        <w:t>Other duties as directed.</w:t>
      </w:r>
      <w:r w:rsidR="00167435">
        <w:t xml:space="preserve">   </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33C38F93" w14:textId="2F7BBA39" w:rsidR="00D42E42" w:rsidRPr="00D42E42" w:rsidRDefault="00EA3984" w:rsidP="00D923FE">
      <w:pPr>
        <w:numPr>
          <w:ilvl w:val="0"/>
          <w:numId w:val="11"/>
        </w:numPr>
        <w:tabs>
          <w:tab w:val="num" w:pos="720"/>
        </w:tabs>
        <w:spacing w:before="0" w:after="60" w:line="240" w:lineRule="auto"/>
        <w:rPr>
          <w:rFonts w:cs="Calibri"/>
          <w:szCs w:val="24"/>
        </w:rPr>
      </w:pPr>
      <w:r w:rsidRPr="00EA3984">
        <w:rPr>
          <w:rFonts w:cs="Calibri"/>
          <w:szCs w:val="24"/>
        </w:rPr>
        <w:t xml:space="preserve">A PhD in a relevant field such as bioinformatics, computational biology, or a related field such as molecular biology if it included a significant focus on </w:t>
      </w:r>
      <w:proofErr w:type="spellStart"/>
      <w:proofErr w:type="gramStart"/>
      <w:r w:rsidRPr="00EA3984">
        <w:rPr>
          <w:rFonts w:cs="Calibri"/>
          <w:szCs w:val="24"/>
        </w:rPr>
        <w:t>bioinformatics.</w:t>
      </w:r>
      <w:r w:rsidR="00D42E42" w:rsidRPr="00D42E42">
        <w:rPr>
          <w:rFonts w:cs="Calibri"/>
          <w:szCs w:val="24"/>
        </w:rPr>
        <w:t>Demonstrated</w:t>
      </w:r>
      <w:proofErr w:type="spellEnd"/>
      <w:proofErr w:type="gramEnd"/>
      <w:r w:rsidR="00D42E42" w:rsidRPr="00D42E42">
        <w:rPr>
          <w:rFonts w:cs="Calibri"/>
          <w:szCs w:val="24"/>
        </w:rPr>
        <w:t xml:space="preserve"> ability to </w:t>
      </w:r>
      <w:r w:rsidR="00D42E42" w:rsidRPr="00D42E42">
        <w:rPr>
          <w:rFonts w:cs="Calibri"/>
          <w:szCs w:val="24"/>
        </w:rPr>
        <w:lastRenderedPageBreak/>
        <w:t>undertake original, creative and innovative research by generating and pursuing novel ideas and solutions to scientific research problems.</w:t>
      </w:r>
    </w:p>
    <w:p w14:paraId="5B6BD4D4" w14:textId="4CF8DB32" w:rsidR="004C00C7" w:rsidRDefault="00D42E42" w:rsidP="004C00C7">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 grant applications or inventorship on patent applications.</w:t>
      </w:r>
    </w:p>
    <w:p w14:paraId="787A1C20" w14:textId="59DCA734" w:rsidR="007A451B" w:rsidRPr="007A451B" w:rsidRDefault="00842E26" w:rsidP="007A451B">
      <w:pPr>
        <w:numPr>
          <w:ilvl w:val="0"/>
          <w:numId w:val="11"/>
        </w:numPr>
        <w:spacing w:before="0" w:after="60" w:line="240" w:lineRule="auto"/>
        <w:rPr>
          <w:rFonts w:cs="Calibri"/>
          <w:szCs w:val="24"/>
        </w:rPr>
      </w:pPr>
      <w:r>
        <w:rPr>
          <w:rFonts w:cs="Calibri"/>
          <w:szCs w:val="24"/>
        </w:rPr>
        <w:t xml:space="preserve">At least 3 years’ programming </w:t>
      </w:r>
      <w:r w:rsidR="007A451B" w:rsidRPr="007A451B">
        <w:rPr>
          <w:rFonts w:cs="Calibri"/>
          <w:szCs w:val="24"/>
        </w:rPr>
        <w:t xml:space="preserve">experience with at least one </w:t>
      </w:r>
      <w:r w:rsidR="000F5E5B">
        <w:rPr>
          <w:rFonts w:cs="Calibri"/>
          <w:szCs w:val="24"/>
        </w:rPr>
        <w:t xml:space="preserve">interpreted </w:t>
      </w:r>
      <w:r w:rsidR="007A451B" w:rsidRPr="007A451B">
        <w:rPr>
          <w:rFonts w:cs="Calibri"/>
          <w:szCs w:val="24"/>
        </w:rPr>
        <w:t xml:space="preserve">programming language </w:t>
      </w:r>
      <w:r w:rsidR="00095E58">
        <w:rPr>
          <w:rFonts w:cs="Calibri"/>
          <w:szCs w:val="24"/>
        </w:rPr>
        <w:t>(</w:t>
      </w:r>
      <w:r w:rsidR="007A451B" w:rsidRPr="007A451B">
        <w:rPr>
          <w:rFonts w:cs="Calibri"/>
          <w:szCs w:val="24"/>
        </w:rPr>
        <w:t>Python</w:t>
      </w:r>
      <w:r w:rsidR="00095E58">
        <w:rPr>
          <w:rFonts w:cs="Calibri"/>
          <w:szCs w:val="24"/>
        </w:rPr>
        <w:t xml:space="preserve"> preferred)</w:t>
      </w:r>
    </w:p>
    <w:p w14:paraId="7F95E9D0" w14:textId="386364B7" w:rsidR="007A451B" w:rsidRPr="007A451B" w:rsidRDefault="007A451B" w:rsidP="007A451B">
      <w:pPr>
        <w:numPr>
          <w:ilvl w:val="0"/>
          <w:numId w:val="11"/>
        </w:numPr>
        <w:spacing w:before="0" w:after="60" w:line="240" w:lineRule="auto"/>
        <w:rPr>
          <w:rFonts w:cs="Calibri"/>
          <w:szCs w:val="24"/>
        </w:rPr>
      </w:pPr>
      <w:r w:rsidRPr="007A451B">
        <w:rPr>
          <w:rFonts w:cs="Calibri"/>
          <w:szCs w:val="24"/>
        </w:rPr>
        <w:t>Experience with NGS data analysis and transcriptomics</w:t>
      </w:r>
    </w:p>
    <w:p w14:paraId="3537C9DF" w14:textId="77777777" w:rsidR="007A451B" w:rsidRPr="007A451B" w:rsidRDefault="007A451B" w:rsidP="007A451B">
      <w:pPr>
        <w:numPr>
          <w:ilvl w:val="0"/>
          <w:numId w:val="11"/>
        </w:numPr>
        <w:spacing w:before="0" w:after="60" w:line="240" w:lineRule="auto"/>
        <w:rPr>
          <w:rFonts w:cs="Calibri"/>
          <w:szCs w:val="24"/>
        </w:rPr>
      </w:pPr>
      <w:r w:rsidRPr="007A451B">
        <w:rPr>
          <w:rFonts w:cs="Calibri"/>
          <w:szCs w:val="24"/>
        </w:rPr>
        <w:t>Strong analytical and problem-solving skills</w:t>
      </w:r>
    </w:p>
    <w:p w14:paraId="01FDEAE7" w14:textId="38484CD9" w:rsidR="007A451B" w:rsidRDefault="007A451B" w:rsidP="007A451B">
      <w:pPr>
        <w:numPr>
          <w:ilvl w:val="0"/>
          <w:numId w:val="11"/>
        </w:numPr>
        <w:tabs>
          <w:tab w:val="num" w:pos="720"/>
        </w:tabs>
        <w:spacing w:before="0" w:after="60" w:line="240" w:lineRule="auto"/>
        <w:rPr>
          <w:rFonts w:cs="Calibri"/>
          <w:szCs w:val="24"/>
        </w:rPr>
      </w:pPr>
      <w:r w:rsidRPr="007A451B">
        <w:rPr>
          <w:rFonts w:cs="Calibri"/>
          <w:szCs w:val="24"/>
        </w:rPr>
        <w:t>Excellent communication and collaboration skills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17AB470" w14:textId="40C359F2" w:rsidR="007A451B" w:rsidRDefault="007A451B" w:rsidP="00D923FE">
      <w:pPr>
        <w:numPr>
          <w:ilvl w:val="0"/>
          <w:numId w:val="12"/>
        </w:numPr>
        <w:spacing w:before="0" w:after="60" w:line="240" w:lineRule="auto"/>
        <w:rPr>
          <w:iCs/>
          <w:szCs w:val="24"/>
        </w:rPr>
      </w:pPr>
      <w:r>
        <w:rPr>
          <w:iCs/>
          <w:szCs w:val="24"/>
        </w:rPr>
        <w:t xml:space="preserve">Experience </w:t>
      </w:r>
      <w:r w:rsidR="000F5E5B">
        <w:rPr>
          <w:iCs/>
          <w:szCs w:val="24"/>
        </w:rPr>
        <w:t>using</w:t>
      </w:r>
      <w:r w:rsidR="00095E58">
        <w:rPr>
          <w:iCs/>
          <w:szCs w:val="24"/>
        </w:rPr>
        <w:t xml:space="preserve"> other </w:t>
      </w:r>
      <w:r>
        <w:rPr>
          <w:iCs/>
          <w:szCs w:val="24"/>
        </w:rPr>
        <w:t>programming languages</w:t>
      </w:r>
      <w:r w:rsidR="00095E58">
        <w:rPr>
          <w:iCs/>
          <w:szCs w:val="24"/>
        </w:rPr>
        <w:t xml:space="preserve"> in addition to python (</w:t>
      </w:r>
      <w:proofErr w:type="gramStart"/>
      <w:r w:rsidR="00BC5461">
        <w:rPr>
          <w:iCs/>
          <w:szCs w:val="24"/>
        </w:rPr>
        <w:t>e.g.</w:t>
      </w:r>
      <w:proofErr w:type="gramEnd"/>
      <w:r w:rsidR="00BC5461">
        <w:rPr>
          <w:iCs/>
          <w:szCs w:val="24"/>
        </w:rPr>
        <w:t xml:space="preserve"> </w:t>
      </w:r>
      <w:r w:rsidR="00095E58">
        <w:rPr>
          <w:iCs/>
          <w:szCs w:val="24"/>
        </w:rPr>
        <w:t>R/bash/SQL/</w:t>
      </w:r>
      <w:r w:rsidR="00095E58" w:rsidRPr="00095E58">
        <w:rPr>
          <w:iCs/>
          <w:szCs w:val="24"/>
        </w:rPr>
        <w:t xml:space="preserve"> </w:t>
      </w:r>
      <w:r w:rsidR="00095E58">
        <w:rPr>
          <w:iCs/>
          <w:szCs w:val="24"/>
        </w:rPr>
        <w:t>HTML/CSS/JS)</w:t>
      </w:r>
    </w:p>
    <w:p w14:paraId="3D4EFC2F" w14:textId="0AABBE20" w:rsidR="00095E58" w:rsidRPr="00BC5461" w:rsidRDefault="00095E58" w:rsidP="00BC5461">
      <w:pPr>
        <w:numPr>
          <w:ilvl w:val="0"/>
          <w:numId w:val="12"/>
        </w:numPr>
        <w:spacing w:before="0" w:after="60" w:line="240" w:lineRule="auto"/>
        <w:rPr>
          <w:iCs/>
          <w:szCs w:val="24"/>
        </w:rPr>
      </w:pPr>
      <w:r w:rsidRPr="00BC5461">
        <w:rPr>
          <w:iCs/>
          <w:szCs w:val="24"/>
        </w:rPr>
        <w:t xml:space="preserve">Experience </w:t>
      </w:r>
      <w:r w:rsidR="00BC5461">
        <w:rPr>
          <w:iCs/>
          <w:szCs w:val="24"/>
        </w:rPr>
        <w:t>using</w:t>
      </w:r>
      <w:r w:rsidRPr="00BC5461">
        <w:rPr>
          <w:iCs/>
          <w:szCs w:val="24"/>
        </w:rPr>
        <w:t xml:space="preserve"> version control (</w:t>
      </w:r>
      <w:proofErr w:type="gramStart"/>
      <w:r w:rsidR="00BC5461" w:rsidRPr="00BC5461">
        <w:rPr>
          <w:iCs/>
          <w:szCs w:val="24"/>
        </w:rPr>
        <w:t>e.g.</w:t>
      </w:r>
      <w:proofErr w:type="gramEnd"/>
      <w:r w:rsidR="00BC5461">
        <w:rPr>
          <w:iCs/>
          <w:szCs w:val="24"/>
        </w:rPr>
        <w:t xml:space="preserve"> </w:t>
      </w:r>
      <w:r w:rsidRPr="00BC5461">
        <w:rPr>
          <w:iCs/>
          <w:szCs w:val="24"/>
        </w:rPr>
        <w:t>GIT)</w:t>
      </w:r>
    </w:p>
    <w:p w14:paraId="3D60DE41" w14:textId="248D0752" w:rsidR="00095E58" w:rsidRPr="000F5E5B" w:rsidRDefault="00BC5461" w:rsidP="000F5E5B">
      <w:pPr>
        <w:numPr>
          <w:ilvl w:val="0"/>
          <w:numId w:val="12"/>
        </w:numPr>
        <w:spacing w:before="0" w:after="60" w:line="240" w:lineRule="auto"/>
        <w:rPr>
          <w:iCs/>
          <w:szCs w:val="24"/>
        </w:rPr>
      </w:pPr>
      <w:r w:rsidRPr="00BC5461">
        <w:rPr>
          <w:iCs/>
          <w:szCs w:val="24"/>
        </w:rPr>
        <w:t xml:space="preserve">Experience </w:t>
      </w:r>
      <w:r w:rsidR="00095E58">
        <w:rPr>
          <w:iCs/>
          <w:szCs w:val="24"/>
        </w:rPr>
        <w:t>using Linux/UNIX</w:t>
      </w:r>
      <w:r w:rsidR="000F5E5B">
        <w:rPr>
          <w:iCs/>
          <w:szCs w:val="24"/>
        </w:rPr>
        <w:t xml:space="preserve"> </w:t>
      </w:r>
      <w:r w:rsidR="00095E58" w:rsidRPr="000F5E5B">
        <w:rPr>
          <w:iCs/>
          <w:szCs w:val="24"/>
        </w:rPr>
        <w:t>in a High-Performance Compute (HPC) environment for batch processing (</w:t>
      </w:r>
      <w:proofErr w:type="gramStart"/>
      <w:r w:rsidRPr="000F5E5B">
        <w:rPr>
          <w:iCs/>
          <w:szCs w:val="24"/>
        </w:rPr>
        <w:t>e.g.</w:t>
      </w:r>
      <w:proofErr w:type="gramEnd"/>
      <w:r w:rsidR="00095E58" w:rsidRPr="000F5E5B">
        <w:rPr>
          <w:iCs/>
          <w:szCs w:val="24"/>
        </w:rPr>
        <w:t xml:space="preserve"> SLURM)</w:t>
      </w:r>
    </w:p>
    <w:p w14:paraId="3DC72D08" w14:textId="77777777" w:rsidR="00842E26" w:rsidRDefault="00BC5461" w:rsidP="00D42E42">
      <w:pPr>
        <w:numPr>
          <w:ilvl w:val="0"/>
          <w:numId w:val="12"/>
        </w:numPr>
        <w:spacing w:before="0" w:after="60" w:line="240" w:lineRule="auto"/>
        <w:rPr>
          <w:iCs/>
          <w:szCs w:val="24"/>
        </w:rPr>
      </w:pPr>
      <w:r w:rsidRPr="00BC5461">
        <w:rPr>
          <w:iCs/>
          <w:szCs w:val="24"/>
        </w:rPr>
        <w:t xml:space="preserve">Experience </w:t>
      </w:r>
      <w:r>
        <w:rPr>
          <w:iCs/>
          <w:szCs w:val="24"/>
        </w:rPr>
        <w:t>in d</w:t>
      </w:r>
      <w:r w:rsidR="00095E58">
        <w:rPr>
          <w:iCs/>
          <w:szCs w:val="24"/>
        </w:rPr>
        <w:t xml:space="preserve">ata visualisation for </w:t>
      </w:r>
      <w:r>
        <w:rPr>
          <w:iCs/>
          <w:szCs w:val="24"/>
        </w:rPr>
        <w:t>large and complex datasets (</w:t>
      </w:r>
      <w:proofErr w:type="gramStart"/>
      <w:r>
        <w:rPr>
          <w:iCs/>
          <w:szCs w:val="24"/>
        </w:rPr>
        <w:t>e.g.</w:t>
      </w:r>
      <w:proofErr w:type="gramEnd"/>
      <w:r>
        <w:rPr>
          <w:iCs/>
          <w:szCs w:val="24"/>
        </w:rPr>
        <w:t xml:space="preserve"> NGS)</w:t>
      </w:r>
    </w:p>
    <w:p w14:paraId="4235951D" w14:textId="78AB0EAC" w:rsidR="00D42E42" w:rsidRDefault="000F5E5B" w:rsidP="00D42E42">
      <w:pPr>
        <w:numPr>
          <w:ilvl w:val="0"/>
          <w:numId w:val="12"/>
        </w:numPr>
        <w:spacing w:before="0" w:after="60" w:line="240" w:lineRule="auto"/>
        <w:rPr>
          <w:iCs/>
          <w:szCs w:val="24"/>
        </w:rPr>
      </w:pPr>
      <w:r w:rsidRPr="00842E26">
        <w:rPr>
          <w:iCs/>
          <w:szCs w:val="24"/>
        </w:rPr>
        <w:t>Experience in vaccinology</w:t>
      </w:r>
    </w:p>
    <w:p w14:paraId="555EE334" w14:textId="343F3282" w:rsidR="00167435" w:rsidRDefault="00167435" w:rsidP="00167435">
      <w:pPr>
        <w:spacing w:before="0" w:after="60" w:line="240" w:lineRule="auto"/>
        <w:ind w:left="360"/>
        <w:rPr>
          <w:iCs/>
          <w:szCs w:val="24"/>
        </w:rPr>
      </w:pPr>
    </w:p>
    <w:p w14:paraId="77817F4A" w14:textId="77777777" w:rsidR="00167435" w:rsidRPr="00842E26" w:rsidRDefault="00167435" w:rsidP="00167435">
      <w:pPr>
        <w:spacing w:before="0" w:after="60" w:line="240" w:lineRule="auto"/>
        <w:ind w:left="360"/>
        <w:rPr>
          <w:iCs/>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lastRenderedPageBreak/>
        <w:t>Special Requirements</w:t>
      </w:r>
    </w:p>
    <w:p w14:paraId="542188D1" w14:textId="77777777" w:rsidR="00F05F6B" w:rsidRPr="007A451B" w:rsidRDefault="00F05F6B" w:rsidP="00F05F6B">
      <w:pPr>
        <w:pStyle w:val="Boxedlistbullet"/>
        <w:numPr>
          <w:ilvl w:val="0"/>
          <w:numId w:val="13"/>
        </w:numPr>
        <w:spacing w:before="100" w:beforeAutospacing="1" w:after="100" w:afterAutospacing="1"/>
      </w:pPr>
      <w:r w:rsidRPr="007A451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EE0AE1F" w14:textId="77777777" w:rsidR="007A451B" w:rsidRDefault="007A451B" w:rsidP="00F05F6B">
      <w:pPr>
        <w:pStyle w:val="Boxedlistbullet"/>
        <w:numPr>
          <w:ilvl w:val="0"/>
          <w:numId w:val="13"/>
        </w:numPr>
        <w:spacing w:before="100" w:beforeAutospacing="1" w:after="100" w:afterAutospacing="1"/>
      </w:pPr>
      <w:bookmarkStart w:id="2" w:name="_Hlk63852806"/>
      <w:r w:rsidRPr="00D85A25">
        <w:t>The successful candidate will be required to obtain and maintain a National Health Security Clearance.</w:t>
      </w:r>
      <w:bookmarkEnd w:id="2"/>
    </w:p>
    <w:p w14:paraId="4F193442" w14:textId="66F98E9B" w:rsidR="00F05F6B" w:rsidRPr="007A451B" w:rsidRDefault="00F05F6B" w:rsidP="00F05F6B">
      <w:pPr>
        <w:pStyle w:val="Boxedlistbullet"/>
        <w:numPr>
          <w:ilvl w:val="0"/>
          <w:numId w:val="13"/>
        </w:numPr>
        <w:spacing w:before="100" w:beforeAutospacing="1" w:after="100" w:afterAutospacing="1"/>
      </w:pPr>
      <w:r w:rsidRPr="007A451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7A451B">
        <w:t>i.e.</w:t>
      </w:r>
      <w:proofErr w:type="gramEnd"/>
      <w:r w:rsidRPr="007A451B">
        <w:t xml:space="preserve"> IELTS test- https://ielts.com.au/)</w:t>
      </w:r>
    </w:p>
    <w:p w14:paraId="286BEE4A" w14:textId="4FA15A82" w:rsidR="00F05F6B" w:rsidRPr="007A451B" w:rsidRDefault="00F05F6B" w:rsidP="00F05F6B">
      <w:pPr>
        <w:pStyle w:val="Boxedlistbullet"/>
        <w:numPr>
          <w:ilvl w:val="0"/>
          <w:numId w:val="13"/>
        </w:numPr>
        <w:spacing w:before="100" w:beforeAutospacing="1" w:after="100" w:afterAutospacing="1"/>
      </w:pPr>
      <w:r w:rsidRPr="007A451B">
        <w:t>ACDP - Security Assessment and Microbiological Security Requirements for Personnel Working on the Australian Centre for Disease Preparedness (ACDP) Site.</w:t>
      </w:r>
    </w:p>
    <w:p w14:paraId="30CD4FEC" w14:textId="77777777" w:rsidR="007A451B" w:rsidRDefault="007A451B" w:rsidP="007A451B">
      <w:pPr>
        <w:autoSpaceDE w:val="0"/>
        <w:autoSpaceDN w:val="0"/>
        <w:adjustRightInd w:val="0"/>
        <w:rPr>
          <w:b/>
          <w:bCs/>
          <w:sz w:val="22"/>
        </w:rPr>
      </w:pPr>
      <w:bookmarkStart w:id="3" w:name="_Hlk98845898"/>
      <w:r w:rsidRPr="00FF480D">
        <w:rPr>
          <w:b/>
          <w:bCs/>
          <w:sz w:val="22"/>
        </w:rPr>
        <w:t xml:space="preserve">Security Assessment and Microbiological Security Requirements for Personnel Working on the </w:t>
      </w:r>
      <w:r w:rsidRPr="00FF480D">
        <w:rPr>
          <w:b/>
          <w:sz w:val="22"/>
        </w:rPr>
        <w:t xml:space="preserve">Australian </w:t>
      </w:r>
      <w:r>
        <w:rPr>
          <w:b/>
          <w:sz w:val="22"/>
        </w:rPr>
        <w:t>Centre for Disease Preparedness (ACDP)</w:t>
      </w:r>
      <w:r w:rsidRPr="00FF480D">
        <w:rPr>
          <w:b/>
          <w:bCs/>
          <w:sz w:val="22"/>
        </w:rPr>
        <w:t xml:space="preserve"> Site</w:t>
      </w:r>
    </w:p>
    <w:p w14:paraId="4F7FE28E" w14:textId="77777777" w:rsidR="007A451B" w:rsidRPr="00FF480D" w:rsidRDefault="007A451B" w:rsidP="007A451B">
      <w:pPr>
        <w:autoSpaceDE w:val="0"/>
        <w:autoSpaceDN w:val="0"/>
        <w:adjustRightInd w:val="0"/>
        <w:rPr>
          <w:b/>
          <w:bCs/>
          <w:sz w:val="22"/>
        </w:rPr>
      </w:pPr>
      <w:r>
        <w:rPr>
          <w:b/>
          <w:bCs/>
          <w:sz w:val="22"/>
        </w:rPr>
        <w:t>To be eligible for this position you must be willing and able to:</w:t>
      </w:r>
    </w:p>
    <w:p w14:paraId="782348E9" w14:textId="77777777" w:rsidR="007A451B" w:rsidRPr="00FF480D" w:rsidRDefault="007A451B" w:rsidP="007A451B">
      <w:pPr>
        <w:numPr>
          <w:ilvl w:val="0"/>
          <w:numId w:val="20"/>
        </w:numPr>
        <w:autoSpaceDE w:val="0"/>
        <w:autoSpaceDN w:val="0"/>
        <w:adjustRightInd w:val="0"/>
        <w:spacing w:before="0" w:after="60" w:line="240" w:lineRule="auto"/>
        <w:rPr>
          <w:rFonts w:cs="Calibri"/>
          <w:sz w:val="22"/>
        </w:rPr>
      </w:pPr>
      <w:r w:rsidRPr="00FF480D">
        <w:rPr>
          <w:rFonts w:cs="Calibri"/>
          <w:sz w:val="22"/>
        </w:rPr>
        <w:t xml:space="preserve">Certain positions including those working in the </w:t>
      </w:r>
      <w:r>
        <w:rPr>
          <w:rFonts w:cs="Calibri"/>
          <w:sz w:val="22"/>
        </w:rPr>
        <w:t>ACDP</w:t>
      </w:r>
      <w:r w:rsidRPr="00FF480D">
        <w:rPr>
          <w:rFonts w:cs="Calibri"/>
          <w:sz w:val="22"/>
        </w:rPr>
        <w:t xml:space="preserve"> microbiological secure area will require security clearance at a level appropriate to duties of the position. Confirmation of the appointment is subject to obtaining that clearance.</w:t>
      </w:r>
    </w:p>
    <w:p w14:paraId="7CB0FEFD" w14:textId="77777777" w:rsidR="007A451B" w:rsidRPr="00FF480D" w:rsidRDefault="007A451B" w:rsidP="007A451B">
      <w:pPr>
        <w:numPr>
          <w:ilvl w:val="0"/>
          <w:numId w:val="20"/>
        </w:numPr>
        <w:autoSpaceDE w:val="0"/>
        <w:autoSpaceDN w:val="0"/>
        <w:adjustRightInd w:val="0"/>
        <w:spacing w:before="0" w:after="60" w:line="240" w:lineRule="auto"/>
        <w:rPr>
          <w:rFonts w:cs="Calibri"/>
          <w:sz w:val="22"/>
        </w:rPr>
      </w:pPr>
      <w:r w:rsidRPr="00FF480D">
        <w:rPr>
          <w:rFonts w:cs="Calibri"/>
          <w:sz w:val="22"/>
        </w:rPr>
        <w:t xml:space="preserve">It is essential that all work on exotic or emerging diseases carried out at </w:t>
      </w:r>
      <w:r>
        <w:rPr>
          <w:rFonts w:cs="Calibri"/>
          <w:sz w:val="22"/>
        </w:rPr>
        <w:t>ACDP</w:t>
      </w:r>
      <w:r w:rsidRPr="00FF480D">
        <w:rPr>
          <w:rFonts w:cs="Calibri"/>
          <w:sz w:val="22"/>
        </w:rPr>
        <w:t xml:space="preserve"> is conducted in a safe manner to prevent the escape of the disease agents used, and to this end, all activities and personnel will be subject to appropriate microbiological security measures. Consequently, while working at </w:t>
      </w:r>
      <w:r>
        <w:rPr>
          <w:rFonts w:cs="Calibri"/>
          <w:sz w:val="22"/>
        </w:rPr>
        <w:t>ACDP</w:t>
      </w:r>
      <w:r w:rsidRPr="00FF480D">
        <w:rPr>
          <w:rFonts w:cs="Calibri"/>
          <w:sz w:val="22"/>
        </w:rPr>
        <w:t xml:space="preserve">, you may not reside on a property on which are kept any of the following animals: sheep, cattle, pigs, goats, horses, asses, mules and camelids, any other cloven-hoofed animal, fowls, turkeys, geese, domestic ducks, caged birds, </w:t>
      </w:r>
      <w:proofErr w:type="gramStart"/>
      <w:r w:rsidRPr="00FF480D">
        <w:rPr>
          <w:rFonts w:cs="Calibri"/>
          <w:sz w:val="22"/>
        </w:rPr>
        <w:t>emus</w:t>
      </w:r>
      <w:proofErr w:type="gramEnd"/>
      <w:r w:rsidRPr="00FF480D">
        <w:rPr>
          <w:rFonts w:cs="Calibri"/>
          <w:sz w:val="22"/>
        </w:rPr>
        <w:t xml:space="preserve"> or ostriches. Personnel working with diseases of aquatic animals may not keep aquarium fish at their place of residence and at times specific species may be excluded depending on the nature of the work conducted.</w:t>
      </w:r>
    </w:p>
    <w:p w14:paraId="2D3322ED" w14:textId="77777777" w:rsidR="007A451B" w:rsidRPr="00FF480D" w:rsidRDefault="007A451B" w:rsidP="007A451B">
      <w:pPr>
        <w:numPr>
          <w:ilvl w:val="0"/>
          <w:numId w:val="20"/>
        </w:numPr>
        <w:autoSpaceDE w:val="0"/>
        <w:autoSpaceDN w:val="0"/>
        <w:adjustRightInd w:val="0"/>
        <w:spacing w:before="0" w:after="60" w:line="240" w:lineRule="auto"/>
        <w:rPr>
          <w:rFonts w:cs="Calibri"/>
          <w:sz w:val="22"/>
        </w:rPr>
      </w:pPr>
      <w:r w:rsidRPr="00FF480D">
        <w:rPr>
          <w:rFonts w:cs="Calibri"/>
          <w:sz w:val="22"/>
        </w:rPr>
        <w:t xml:space="preserve">In addition, for a period of seven days after working in the microbiologically secure area of </w:t>
      </w:r>
      <w:r>
        <w:rPr>
          <w:rFonts w:cs="Calibri"/>
          <w:sz w:val="22"/>
        </w:rPr>
        <w:t>ACDP</w:t>
      </w:r>
      <w:r w:rsidRPr="00FF480D">
        <w:rPr>
          <w:rFonts w:cs="Calibri"/>
          <w:sz w:val="22"/>
        </w:rPr>
        <w:t xml:space="preserve">, personnel may not have close contact with any of the above animals, amphibians or birds or the actual places where these animals are </w:t>
      </w:r>
      <w:proofErr w:type="gramStart"/>
      <w:r w:rsidRPr="00FF480D">
        <w:rPr>
          <w:rFonts w:cs="Calibri"/>
          <w:sz w:val="22"/>
        </w:rPr>
        <w:t>held, or</w:t>
      </w:r>
      <w:proofErr w:type="gramEnd"/>
      <w:r w:rsidRPr="00FF480D">
        <w:rPr>
          <w:rFonts w:cs="Calibri"/>
          <w:sz w:val="22"/>
        </w:rPr>
        <w:t xml:space="preserve"> visit any aquatic animal farm or aquatic animal hatchery.</w:t>
      </w:r>
    </w:p>
    <w:p w14:paraId="1DCFB10C" w14:textId="77777777" w:rsidR="007A451B" w:rsidRPr="00FF480D" w:rsidRDefault="007A451B" w:rsidP="007A451B">
      <w:pPr>
        <w:numPr>
          <w:ilvl w:val="0"/>
          <w:numId w:val="20"/>
        </w:numPr>
        <w:autoSpaceDE w:val="0"/>
        <w:autoSpaceDN w:val="0"/>
        <w:adjustRightInd w:val="0"/>
        <w:spacing w:before="0" w:after="60" w:line="240" w:lineRule="auto"/>
        <w:rPr>
          <w:rFonts w:cs="Calibri"/>
          <w:sz w:val="22"/>
        </w:rPr>
      </w:pPr>
      <w:r w:rsidRPr="00FF480D">
        <w:rPr>
          <w:rFonts w:cs="Calibri"/>
          <w:sz w:val="22"/>
        </w:rPr>
        <w:t xml:space="preserve">Working in the barrier maintained Small Animal Facility or the Werribee Animal Health Farm requires avoidance of additional animals such as mice, rats, guinea pigs, rabbits, </w:t>
      </w:r>
      <w:proofErr w:type="gramStart"/>
      <w:r w:rsidRPr="00FF480D">
        <w:rPr>
          <w:rFonts w:cs="Calibri"/>
          <w:sz w:val="22"/>
        </w:rPr>
        <w:t>ferrets</w:t>
      </w:r>
      <w:proofErr w:type="gramEnd"/>
      <w:r w:rsidRPr="00FF480D">
        <w:rPr>
          <w:rFonts w:cs="Calibri"/>
          <w:sz w:val="22"/>
        </w:rPr>
        <w:t xml:space="preserve"> and poultry of a minimum of 3 days prior to arrival.</w:t>
      </w:r>
    </w:p>
    <w:p w14:paraId="43C7CFC2" w14:textId="77777777" w:rsidR="007A451B" w:rsidRPr="00EF3746" w:rsidRDefault="007A451B" w:rsidP="007A451B">
      <w:pPr>
        <w:numPr>
          <w:ilvl w:val="0"/>
          <w:numId w:val="20"/>
        </w:numPr>
        <w:autoSpaceDE w:val="0"/>
        <w:autoSpaceDN w:val="0"/>
        <w:adjustRightInd w:val="0"/>
        <w:spacing w:before="0" w:after="60" w:line="240" w:lineRule="auto"/>
        <w:rPr>
          <w:rFonts w:cs="Calibri"/>
          <w:sz w:val="22"/>
        </w:rPr>
      </w:pPr>
      <w:bookmarkStart w:id="4" w:name="_Hlk98859189"/>
      <w:r w:rsidRPr="00FF480D">
        <w:rPr>
          <w:rFonts w:cs="Calibri"/>
          <w:sz w:val="22"/>
        </w:rPr>
        <w:t>Certain positions will require medical assessment and vaccinations against various agents</w:t>
      </w:r>
      <w:r>
        <w:rPr>
          <w:rFonts w:cs="Calibri"/>
          <w:sz w:val="22"/>
        </w:rPr>
        <w:t xml:space="preserve"> which may include (where applicable) influenza, Hepatitis b, Rabies, Japanese encephalitis, Q Fever and SARS-CoV-2 or other agents if working with certain viruses</w:t>
      </w:r>
      <w:r w:rsidRPr="00FF480D">
        <w:rPr>
          <w:rFonts w:cs="Calibri"/>
          <w:sz w:val="22"/>
        </w:rPr>
        <w:t>.</w:t>
      </w:r>
      <w:bookmarkEnd w:id="4"/>
      <w:r w:rsidRPr="00017831">
        <w:rPr>
          <w:rFonts w:cs="Calibri"/>
          <w:sz w:val="22"/>
        </w:rPr>
        <w:t xml:space="preserve"> </w:t>
      </w:r>
      <w:r w:rsidRPr="00C111A9">
        <w:rPr>
          <w:rFonts w:cs="Calibri"/>
          <w:sz w:val="22"/>
        </w:rPr>
        <w:t xml:space="preserve">The successful candidate will be required to provide satisfactory evidence of vaccination against certain viruses / diseases prior to commencement and/or may be expected to be vaccinated against other viruses/diseases </w:t>
      </w:r>
      <w:proofErr w:type="gramStart"/>
      <w:r w:rsidRPr="00C111A9">
        <w:rPr>
          <w:rFonts w:cs="Calibri"/>
          <w:sz w:val="22"/>
        </w:rPr>
        <w:t>during the course of</w:t>
      </w:r>
      <w:proofErr w:type="gramEnd"/>
      <w:r w:rsidRPr="00C111A9">
        <w:rPr>
          <w:rFonts w:cs="Calibri"/>
          <w:sz w:val="22"/>
        </w:rPr>
        <w:t xml:space="preserve"> their employment</w:t>
      </w:r>
      <w:r>
        <w:rPr>
          <w:rFonts w:cs="Calibri"/>
          <w:sz w:val="22"/>
        </w:rPr>
        <w:t>.</w:t>
      </w:r>
    </w:p>
    <w:p w14:paraId="637A1A5E" w14:textId="7C8689CE" w:rsidR="007A451B" w:rsidRPr="00FF480D" w:rsidRDefault="007A451B" w:rsidP="007A451B">
      <w:pPr>
        <w:numPr>
          <w:ilvl w:val="0"/>
          <w:numId w:val="20"/>
        </w:numPr>
        <w:autoSpaceDE w:val="0"/>
        <w:autoSpaceDN w:val="0"/>
        <w:adjustRightInd w:val="0"/>
        <w:spacing w:before="0" w:after="60" w:line="240" w:lineRule="auto"/>
        <w:rPr>
          <w:rFonts w:cs="Calibri"/>
          <w:sz w:val="22"/>
        </w:rPr>
      </w:pPr>
      <w:r w:rsidRPr="00FF480D">
        <w:rPr>
          <w:rFonts w:cs="Calibri"/>
          <w:sz w:val="22"/>
        </w:rPr>
        <w:t>Positions working at PC4 will also require a pre-employment psychological assessment</w:t>
      </w:r>
      <w:r w:rsidR="00842E26">
        <w:rPr>
          <w:rFonts w:cs="Calibri"/>
          <w:sz w:val="22"/>
        </w:rPr>
        <w:t xml:space="preserve"> (not applicable to all positions)</w:t>
      </w:r>
      <w:r w:rsidRPr="00FF480D">
        <w:rPr>
          <w:rFonts w:cs="Calibri"/>
          <w:sz w:val="22"/>
        </w:rPr>
        <w:t xml:space="preserve">. </w:t>
      </w:r>
    </w:p>
    <w:p w14:paraId="5E5280A2" w14:textId="77777777" w:rsidR="007A451B" w:rsidRPr="00FF480D" w:rsidRDefault="007A451B" w:rsidP="007A451B">
      <w:pPr>
        <w:numPr>
          <w:ilvl w:val="0"/>
          <w:numId w:val="20"/>
        </w:numPr>
        <w:autoSpaceDE w:val="0"/>
        <w:autoSpaceDN w:val="0"/>
        <w:adjustRightInd w:val="0"/>
        <w:spacing w:before="0" w:after="60" w:line="240" w:lineRule="auto"/>
        <w:rPr>
          <w:rFonts w:cs="Calibri"/>
          <w:sz w:val="22"/>
        </w:rPr>
      </w:pPr>
      <w:r w:rsidRPr="00FF480D">
        <w:rPr>
          <w:rFonts w:cs="Calibri"/>
          <w:sz w:val="22"/>
        </w:rPr>
        <w:t xml:space="preserve">Given </w:t>
      </w:r>
      <w:r>
        <w:rPr>
          <w:rFonts w:cs="Calibri"/>
          <w:sz w:val="22"/>
        </w:rPr>
        <w:t>ACDP’s</w:t>
      </w:r>
      <w:r w:rsidRPr="00FF480D">
        <w:rPr>
          <w:rFonts w:cs="Calibri"/>
          <w:sz w:val="22"/>
        </w:rPr>
        <w:t xml:space="preserve"> role in the International Regional Program, there may be a requirement for some personnel to travel internationally and if required for this work, suitable staff should be able to obtain a valid passport and </w:t>
      </w:r>
      <w:r>
        <w:rPr>
          <w:rFonts w:cs="Calibri"/>
          <w:sz w:val="22"/>
        </w:rPr>
        <w:t>obtain</w:t>
      </w:r>
      <w:r w:rsidRPr="00FF480D">
        <w:rPr>
          <w:rFonts w:cs="Calibri"/>
          <w:sz w:val="22"/>
        </w:rPr>
        <w:t xml:space="preserve"> applicable vaccinations. </w:t>
      </w:r>
    </w:p>
    <w:p w14:paraId="1E1DA3B1" w14:textId="77777777" w:rsidR="007A451B" w:rsidRPr="00FF480D" w:rsidRDefault="007A451B" w:rsidP="007A451B">
      <w:pPr>
        <w:numPr>
          <w:ilvl w:val="0"/>
          <w:numId w:val="20"/>
        </w:numPr>
        <w:autoSpaceDE w:val="0"/>
        <w:autoSpaceDN w:val="0"/>
        <w:adjustRightInd w:val="0"/>
        <w:spacing w:before="0" w:after="60" w:line="240" w:lineRule="auto"/>
        <w:rPr>
          <w:rFonts w:cs="Calibri"/>
          <w:sz w:val="22"/>
        </w:rPr>
      </w:pPr>
      <w:r w:rsidRPr="00BC0128">
        <w:rPr>
          <w:rFonts w:cs="Calibri"/>
          <w:sz w:val="22"/>
        </w:rPr>
        <w:t xml:space="preserve">In the event of an emergency disease </w:t>
      </w:r>
      <w:proofErr w:type="gramStart"/>
      <w:r w:rsidRPr="00BC0128">
        <w:rPr>
          <w:rFonts w:cs="Calibri"/>
          <w:sz w:val="22"/>
        </w:rPr>
        <w:t>response,  ACDP</w:t>
      </w:r>
      <w:proofErr w:type="gramEnd"/>
      <w:r w:rsidRPr="00BC0128">
        <w:rPr>
          <w:rFonts w:cs="Calibri"/>
          <w:sz w:val="22"/>
        </w:rPr>
        <w:t xml:space="preserve"> may be required to implement the Emergency Animal Disease Response Plan and personnel may be directed to work in areas other than their usual </w:t>
      </w:r>
      <w:r w:rsidRPr="00BC0128">
        <w:rPr>
          <w:rFonts w:cs="Calibri"/>
          <w:sz w:val="22"/>
        </w:rPr>
        <w:lastRenderedPageBreak/>
        <w:t xml:space="preserve">assignment in order to meet the needs of the response. This direction may include work outside usual working </w:t>
      </w:r>
      <w:proofErr w:type="gramStart"/>
      <w:r w:rsidRPr="00BC0128">
        <w:rPr>
          <w:rFonts w:cs="Calibri"/>
          <w:sz w:val="22"/>
        </w:rPr>
        <w:t>hours, and</w:t>
      </w:r>
      <w:proofErr w:type="gramEnd"/>
      <w:r w:rsidRPr="00BC0128">
        <w:rPr>
          <w:rFonts w:cs="Calibri"/>
          <w:sz w:val="22"/>
        </w:rPr>
        <w:t xml:space="preserve"> may require working onsite</w:t>
      </w:r>
      <w:r>
        <w:rPr>
          <w:rFonts w:cs="Calibri"/>
          <w:sz w:val="22"/>
        </w:rPr>
        <w:t>.</w:t>
      </w:r>
    </w:p>
    <w:p w14:paraId="721D72CC" w14:textId="77777777" w:rsidR="007A451B" w:rsidRDefault="007A451B" w:rsidP="007A451B">
      <w:pPr>
        <w:numPr>
          <w:ilvl w:val="0"/>
          <w:numId w:val="20"/>
        </w:numPr>
        <w:autoSpaceDE w:val="0"/>
        <w:autoSpaceDN w:val="0"/>
        <w:adjustRightInd w:val="0"/>
        <w:spacing w:before="0" w:after="60" w:line="240" w:lineRule="auto"/>
        <w:rPr>
          <w:rFonts w:cs="Calibri"/>
          <w:sz w:val="22"/>
        </w:rPr>
      </w:pPr>
      <w:r w:rsidRPr="00FF480D">
        <w:rPr>
          <w:rFonts w:cs="Calibri"/>
          <w:sz w:val="22"/>
        </w:rPr>
        <w:t xml:space="preserve">Personnel must abide by Occupational Health, Safety and Environment regulations. Safety signs and directives issued by CSIRO personnel must be </w:t>
      </w:r>
      <w:proofErr w:type="gramStart"/>
      <w:r w:rsidRPr="00FF480D">
        <w:rPr>
          <w:rFonts w:cs="Calibri"/>
          <w:sz w:val="22"/>
        </w:rPr>
        <w:t>complied with at all times</w:t>
      </w:r>
      <w:proofErr w:type="gramEnd"/>
      <w:r w:rsidRPr="00FF480D">
        <w:rPr>
          <w:rFonts w:cs="Calibri"/>
          <w:sz w:val="22"/>
        </w:rPr>
        <w:t>.</w:t>
      </w:r>
    </w:p>
    <w:p w14:paraId="6EC9F078" w14:textId="77777777" w:rsidR="007A451B" w:rsidRDefault="007A451B" w:rsidP="007A451B">
      <w:pPr>
        <w:numPr>
          <w:ilvl w:val="0"/>
          <w:numId w:val="20"/>
        </w:numPr>
        <w:autoSpaceDE w:val="0"/>
        <w:autoSpaceDN w:val="0"/>
        <w:adjustRightInd w:val="0"/>
        <w:spacing w:before="0" w:after="60" w:line="240" w:lineRule="auto"/>
        <w:rPr>
          <w:rFonts w:cs="Calibri"/>
          <w:sz w:val="22"/>
        </w:rPr>
      </w:pPr>
      <w:r w:rsidRPr="00F5540F">
        <w:rPr>
          <w:rFonts w:cs="Calibri"/>
          <w:sz w:val="22"/>
        </w:rPr>
        <w:t>Access restrictions apply to the Werribee Animal Health Facility (WAHF) site that is associated with, but remote from, the ACDP site.</w:t>
      </w:r>
      <w:bookmarkEnd w:id="3"/>
    </w:p>
    <w:p w14:paraId="59C9F3E0" w14:textId="0945C6D8"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70A2092C"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ooltip="Health &amp; Biosecurity- CSIRO Website" w:history="1">
        <w:r w:rsidR="007A451B" w:rsidRPr="00B50C20">
          <w:rPr>
            <w:rStyle w:val="Hyperlink"/>
            <w:rFonts w:cs="Arial"/>
            <w:bCs/>
            <w:szCs w:val="24"/>
          </w:rPr>
          <w:t>Health and Biosecurity</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1852565C" w:rsidR="00A71B55" w:rsidRPr="007A451B" w:rsidRDefault="00D923FE" w:rsidP="008A1A76">
      <w:pPr>
        <w:numPr>
          <w:ilvl w:val="0"/>
          <w:numId w:val="17"/>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bookmarkEnd w:id="1"/>
    </w:p>
    <w:p w14:paraId="62EE2ABE" w14:textId="77777777" w:rsidR="007A451B" w:rsidRPr="004630E9" w:rsidRDefault="007A451B" w:rsidP="007A451B">
      <w:pPr>
        <w:pStyle w:val="ListParagraph"/>
        <w:numPr>
          <w:ilvl w:val="0"/>
          <w:numId w:val="17"/>
        </w:numPr>
        <w:spacing w:after="180"/>
        <w:rPr>
          <w:bCs/>
          <w:szCs w:val="24"/>
        </w:rPr>
      </w:pPr>
      <w:r w:rsidRPr="004630E9">
        <w:rPr>
          <w:bCs/>
          <w:szCs w:val="24"/>
        </w:rPr>
        <w:t xml:space="preserve">Find out more about the CSIRO </w:t>
      </w:r>
      <w:hyperlink r:id="rId18" w:tooltip="AAHL- CSIRO website" w:history="1">
        <w:r w:rsidRPr="004630E9">
          <w:rPr>
            <w:rStyle w:val="Hyperlink"/>
            <w:rFonts w:cs="Arial"/>
            <w:bCs/>
            <w:szCs w:val="24"/>
          </w:rPr>
          <w:t>Australian Centre for Disease Preparedness</w:t>
        </w:r>
      </w:hyperlink>
      <w:r w:rsidRPr="004630E9">
        <w:rPr>
          <w:bCs/>
          <w:szCs w:val="24"/>
        </w:rPr>
        <w:t xml:space="preserve"> </w:t>
      </w:r>
    </w:p>
    <w:p w14:paraId="29C7BE7F" w14:textId="77BA16CC" w:rsidR="007A451B" w:rsidRPr="007A451B" w:rsidRDefault="007A451B" w:rsidP="007A451B">
      <w:pPr>
        <w:pStyle w:val="ListParagraph"/>
        <w:numPr>
          <w:ilvl w:val="0"/>
          <w:numId w:val="17"/>
        </w:numPr>
        <w:spacing w:after="180"/>
        <w:rPr>
          <w:rStyle w:val="normaltextrun"/>
          <w:bCs/>
          <w:szCs w:val="24"/>
        </w:rPr>
      </w:pPr>
      <w:r w:rsidRPr="004630E9">
        <w:rPr>
          <w:bCs/>
          <w:szCs w:val="24"/>
        </w:rPr>
        <w:t xml:space="preserve">Find out more about CSIRO </w:t>
      </w:r>
      <w:hyperlink r:id="rId19" w:tooltip="Health &amp; Biosecurity- CSIRO Website" w:history="1">
        <w:r w:rsidRPr="004630E9">
          <w:rPr>
            <w:rStyle w:val="Hyperlink"/>
            <w:rFonts w:cs="Arial"/>
            <w:bCs/>
            <w:szCs w:val="24"/>
          </w:rPr>
          <w:t>Health and Biosecurity</w:t>
        </w:r>
      </w:hyperlink>
    </w:p>
    <w:sectPr w:rsidR="007A451B" w:rsidRPr="007A451B" w:rsidSect="00787346">
      <w:footerReference w:type="default" r:id="rId20"/>
      <w:headerReference w:type="first" r:id="rId21"/>
      <w:footerReference w:type="first" r:id="rId22"/>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298C" w14:textId="77777777" w:rsidR="00A16E6E" w:rsidRDefault="00A16E6E" w:rsidP="000A377A">
      <w:r>
        <w:separator/>
      </w:r>
    </w:p>
  </w:endnote>
  <w:endnote w:type="continuationSeparator" w:id="0">
    <w:p w14:paraId="5E77775F" w14:textId="77777777" w:rsidR="00A16E6E" w:rsidRDefault="00A16E6E" w:rsidP="000A377A">
      <w:r>
        <w:continuationSeparator/>
      </w:r>
    </w:p>
  </w:endnote>
  <w:endnote w:type="continuationNotice" w:id="1">
    <w:p w14:paraId="244C53CC" w14:textId="77777777" w:rsidR="00A16E6E" w:rsidRDefault="00A16E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1F96" w14:textId="77777777" w:rsidR="00A16E6E" w:rsidRDefault="00A16E6E" w:rsidP="000A377A">
      <w:r>
        <w:separator/>
      </w:r>
    </w:p>
  </w:footnote>
  <w:footnote w:type="continuationSeparator" w:id="0">
    <w:p w14:paraId="111EF88E" w14:textId="77777777" w:rsidR="00A16E6E" w:rsidRDefault="00A16E6E" w:rsidP="000A377A">
      <w:r>
        <w:continuationSeparator/>
      </w:r>
    </w:p>
  </w:footnote>
  <w:footnote w:type="continuationNotice" w:id="1">
    <w:p w14:paraId="5AA740BD" w14:textId="77777777" w:rsidR="00A16E6E" w:rsidRDefault="00A16E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3630379">
    <w:abstractNumId w:val="1"/>
  </w:num>
  <w:num w:numId="2" w16cid:durableId="1113211896">
    <w:abstractNumId w:val="10"/>
  </w:num>
  <w:num w:numId="3" w16cid:durableId="1864827119">
    <w:abstractNumId w:val="5"/>
  </w:num>
  <w:num w:numId="4" w16cid:durableId="1677460036">
    <w:abstractNumId w:val="4"/>
  </w:num>
  <w:num w:numId="5" w16cid:durableId="1680234303">
    <w:abstractNumId w:val="12"/>
  </w:num>
  <w:num w:numId="6" w16cid:durableId="1268388533">
    <w:abstractNumId w:val="16"/>
  </w:num>
  <w:num w:numId="7" w16cid:durableId="1309088822">
    <w:abstractNumId w:val="13"/>
  </w:num>
  <w:num w:numId="8" w16cid:durableId="1518233134">
    <w:abstractNumId w:val="6"/>
  </w:num>
  <w:num w:numId="9" w16cid:durableId="372392628">
    <w:abstractNumId w:val="9"/>
  </w:num>
  <w:num w:numId="10" w16cid:durableId="529101124">
    <w:abstractNumId w:val="2"/>
  </w:num>
  <w:num w:numId="11" w16cid:durableId="863860049">
    <w:abstractNumId w:val="15"/>
  </w:num>
  <w:num w:numId="12" w16cid:durableId="407730540">
    <w:abstractNumId w:val="8"/>
  </w:num>
  <w:num w:numId="13" w16cid:durableId="1880317919">
    <w:abstractNumId w:val="11"/>
  </w:num>
  <w:num w:numId="14" w16cid:durableId="1551112510">
    <w:abstractNumId w:val="2"/>
  </w:num>
  <w:num w:numId="15" w16cid:durableId="1246913004">
    <w:abstractNumId w:val="17"/>
  </w:num>
  <w:num w:numId="16" w16cid:durableId="836923653">
    <w:abstractNumId w:val="2"/>
  </w:num>
  <w:num w:numId="17" w16cid:durableId="20896862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2918360">
    <w:abstractNumId w:val="14"/>
  </w:num>
  <w:num w:numId="19" w16cid:durableId="205997205">
    <w:abstractNumId w:val="0"/>
  </w:num>
  <w:num w:numId="20" w16cid:durableId="10331182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131"/>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E58"/>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5E5B"/>
    <w:rsid w:val="000F62E7"/>
    <w:rsid w:val="000F71B9"/>
    <w:rsid w:val="00101F0A"/>
    <w:rsid w:val="00102228"/>
    <w:rsid w:val="001046AE"/>
    <w:rsid w:val="00113293"/>
    <w:rsid w:val="00113683"/>
    <w:rsid w:val="001203CB"/>
    <w:rsid w:val="001209C7"/>
    <w:rsid w:val="00121F11"/>
    <w:rsid w:val="0012253C"/>
    <w:rsid w:val="0012309D"/>
    <w:rsid w:val="00123D73"/>
    <w:rsid w:val="00125ED4"/>
    <w:rsid w:val="001261EC"/>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435"/>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21B"/>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0CE6"/>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C82"/>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53C"/>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3DF6"/>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3C2F"/>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451B"/>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2E26"/>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6721E"/>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22DF"/>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6E6E"/>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244E1"/>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61"/>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908"/>
    <w:rsid w:val="00CB2EF4"/>
    <w:rsid w:val="00CB3993"/>
    <w:rsid w:val="00CB3FDD"/>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C14"/>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475F4"/>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3984"/>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paragraph" w:styleId="Revision">
    <w:name w:val="Revision"/>
    <w:hidden/>
    <w:uiPriority w:val="99"/>
    <w:semiHidden/>
    <w:rsid w:val="00290CE6"/>
    <w:rPr>
      <w:rFonts w:ascii="Calibri" w:eastAsia="Calibri" w:hAnsi="Calibri"/>
      <w:color w:val="000000"/>
      <w:sz w:val="24"/>
      <w:szCs w:val="22"/>
    </w:rPr>
  </w:style>
  <w:style w:type="character" w:styleId="CommentReference">
    <w:name w:val="annotation reference"/>
    <w:basedOn w:val="DefaultParagraphFont"/>
    <w:semiHidden/>
    <w:unhideWhenUsed/>
    <w:rsid w:val="00290CE6"/>
    <w:rPr>
      <w:sz w:val="16"/>
      <w:szCs w:val="16"/>
    </w:rPr>
  </w:style>
  <w:style w:type="paragraph" w:styleId="CommentText">
    <w:name w:val="annotation text"/>
    <w:basedOn w:val="Normal"/>
    <w:link w:val="CommentTextChar"/>
    <w:semiHidden/>
    <w:unhideWhenUsed/>
    <w:rsid w:val="00290CE6"/>
    <w:pPr>
      <w:spacing w:line="240" w:lineRule="auto"/>
    </w:pPr>
    <w:rPr>
      <w:sz w:val="20"/>
      <w:szCs w:val="20"/>
    </w:rPr>
  </w:style>
  <w:style w:type="character" w:customStyle="1" w:styleId="CommentTextChar">
    <w:name w:val="Comment Text Char"/>
    <w:basedOn w:val="DefaultParagraphFont"/>
    <w:link w:val="CommentText"/>
    <w:semiHidden/>
    <w:rsid w:val="00290CE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90CE6"/>
    <w:rPr>
      <w:b/>
      <w:bCs/>
    </w:rPr>
  </w:style>
  <w:style w:type="character" w:customStyle="1" w:styleId="CommentSubjectChar">
    <w:name w:val="Comment Subject Char"/>
    <w:basedOn w:val="CommentTextChar"/>
    <w:link w:val="CommentSubject"/>
    <w:semiHidden/>
    <w:rsid w:val="00290CE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298561269">
      <w:bodyDiv w:val="1"/>
      <w:marLeft w:val="0"/>
      <w:marRight w:val="0"/>
      <w:marTop w:val="0"/>
      <w:marBottom w:val="0"/>
      <w:divBdr>
        <w:top w:val="none" w:sz="0" w:space="0" w:color="auto"/>
        <w:left w:val="none" w:sz="0" w:space="0" w:color="auto"/>
        <w:bottom w:val="none" w:sz="0" w:space="0" w:color="auto"/>
        <w:right w:val="none" w:sz="0" w:space="0" w:color="auto"/>
      </w:divBdr>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Facilities/AAH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petrus.jansenvanvuren@csiro.au" TargetMode="External"/><Relationship Id="rId17" Type="http://schemas.openxmlformats.org/officeDocument/2006/relationships/hyperlink" Target="https://www.csiro.au/en/Research/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siro.au/en/Research/B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72CF9"/>
    <w:rsid w:val="003C6F9C"/>
    <w:rsid w:val="00414F94"/>
    <w:rsid w:val="00455AC3"/>
    <w:rsid w:val="004F2651"/>
    <w:rsid w:val="00524789"/>
    <w:rsid w:val="00564191"/>
    <w:rsid w:val="00761177"/>
    <w:rsid w:val="007C7613"/>
    <w:rsid w:val="0083493E"/>
    <w:rsid w:val="00875004"/>
    <w:rsid w:val="008D54BD"/>
    <w:rsid w:val="00B33201"/>
    <w:rsid w:val="00B36C21"/>
    <w:rsid w:val="00C45D2E"/>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0DFAC-E6BB-4318-BB34-2AAD3B5F9CE7}">
  <ds:schemaRefs>
    <ds:schemaRef ds:uri="http://schemas.openxmlformats.org/officeDocument/2006/bibliography"/>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5.xml><?xml version="1.0" encoding="utf-8"?>
<ds:datastoreItem xmlns:ds="http://schemas.openxmlformats.org/officeDocument/2006/customXml" ds:itemID="{46237C91-DF86-4F7B-9638-04278303C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(Launch &amp; Careers, St. Lucia)</cp:lastModifiedBy>
  <cp:revision>4</cp:revision>
  <cp:lastPrinted>2012-02-02T00:32:00Z</cp:lastPrinted>
  <dcterms:created xsi:type="dcterms:W3CDTF">2023-03-06T01:14:00Z</dcterms:created>
  <dcterms:modified xsi:type="dcterms:W3CDTF">2023-03-10T00:29:00Z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